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615B8" w14:textId="72F4B37E" w:rsidR="000B6690" w:rsidRPr="000B6690" w:rsidRDefault="000B6690" w:rsidP="000B6690">
      <w:pPr>
        <w:tabs>
          <w:tab w:val="right" w:pos="9639"/>
        </w:tabs>
        <w:overflowPunct w:val="0"/>
        <w:autoSpaceDE w:val="0"/>
        <w:autoSpaceDN w:val="0"/>
        <w:adjustRightInd w:val="0"/>
        <w:jc w:val="left"/>
        <w:textAlignment w:val="baseline"/>
        <w:rPr>
          <w:rFonts w:ascii="Arial" w:eastAsia="宋体" w:hAnsi="Arial" w:cs="Arial"/>
          <w:b/>
          <w:noProof/>
          <w:kern w:val="0"/>
          <w:sz w:val="24"/>
          <w:szCs w:val="20"/>
        </w:rPr>
      </w:pPr>
      <w:r w:rsidRPr="000B6690">
        <w:rPr>
          <w:rFonts w:ascii="Arial" w:eastAsia="宋体" w:hAnsi="Arial" w:cs="Arial"/>
          <w:b/>
          <w:noProof/>
          <w:kern w:val="0"/>
          <w:sz w:val="24"/>
          <w:szCs w:val="20"/>
        </w:rPr>
        <w:t>3GPP TSG-RAN WG2 Meeting #1</w:t>
      </w:r>
      <w:r w:rsidR="0080763E">
        <w:rPr>
          <w:rFonts w:ascii="Arial" w:eastAsia="宋体" w:hAnsi="Arial" w:cs="Arial"/>
          <w:b/>
          <w:noProof/>
          <w:kern w:val="0"/>
          <w:sz w:val="24"/>
          <w:szCs w:val="20"/>
        </w:rPr>
        <w:t>2</w:t>
      </w:r>
      <w:r w:rsidR="00E048A2">
        <w:rPr>
          <w:rFonts w:ascii="Arial" w:eastAsia="宋体" w:hAnsi="Arial" w:cs="Arial"/>
          <w:b/>
          <w:noProof/>
          <w:kern w:val="0"/>
          <w:sz w:val="24"/>
          <w:szCs w:val="20"/>
        </w:rPr>
        <w:t>3</w:t>
      </w:r>
      <w:r w:rsidRPr="000B6690">
        <w:rPr>
          <w:rFonts w:ascii="Arial" w:eastAsia="宋体" w:hAnsi="Arial" w:cs="Arial"/>
          <w:b/>
          <w:noProof/>
          <w:kern w:val="0"/>
          <w:sz w:val="24"/>
          <w:szCs w:val="20"/>
        </w:rPr>
        <w:tab/>
      </w:r>
      <w:r w:rsidR="007C7FDE" w:rsidRPr="007C7FDE">
        <w:rPr>
          <w:rFonts w:ascii="Arial" w:eastAsia="宋体" w:hAnsi="Arial" w:cs="Arial"/>
          <w:b/>
          <w:noProof/>
          <w:kern w:val="0"/>
          <w:sz w:val="24"/>
          <w:szCs w:val="20"/>
        </w:rPr>
        <w:t>R2-</w:t>
      </w:r>
      <w:r w:rsidR="00BE3ECD" w:rsidRPr="00BE3ECD">
        <w:t xml:space="preserve"> </w:t>
      </w:r>
      <w:r w:rsidR="00136C10" w:rsidRPr="00136C10">
        <w:rPr>
          <w:rFonts w:ascii="Arial" w:eastAsia="宋体" w:hAnsi="Arial" w:cs="Arial"/>
          <w:b/>
          <w:noProof/>
          <w:kern w:val="0"/>
          <w:sz w:val="24"/>
          <w:szCs w:val="20"/>
        </w:rPr>
        <w:t>230</w:t>
      </w:r>
      <w:r w:rsidR="00510676">
        <w:rPr>
          <w:rFonts w:ascii="Arial" w:eastAsia="宋体" w:hAnsi="Arial" w:cs="Arial"/>
          <w:b/>
          <w:noProof/>
          <w:kern w:val="0"/>
          <w:sz w:val="24"/>
          <w:szCs w:val="20"/>
        </w:rPr>
        <w:t>8006</w:t>
      </w:r>
    </w:p>
    <w:p w14:paraId="4BF14776" w14:textId="4CFBA3E2" w:rsidR="00AA3FAE" w:rsidRPr="005B2E70" w:rsidRDefault="00E048A2" w:rsidP="000B6690">
      <w:pPr>
        <w:tabs>
          <w:tab w:val="right" w:pos="9630"/>
        </w:tabs>
        <w:overflowPunct w:val="0"/>
        <w:autoSpaceDE w:val="0"/>
        <w:autoSpaceDN w:val="0"/>
        <w:adjustRightInd w:val="0"/>
        <w:jc w:val="left"/>
        <w:textAlignment w:val="baseline"/>
        <w:rPr>
          <w:rFonts w:ascii="Arial" w:eastAsia="宋体" w:hAnsi="Arial" w:cs="Arial"/>
          <w:b/>
          <w:noProof/>
          <w:kern w:val="0"/>
          <w:sz w:val="24"/>
          <w:szCs w:val="20"/>
        </w:rPr>
      </w:pPr>
      <w:r>
        <w:rPr>
          <w:rFonts w:ascii="Arial" w:eastAsia="宋体" w:hAnsi="Arial" w:cs="黑体"/>
          <w:b/>
          <w:bCs/>
          <w:noProof/>
          <w:kern w:val="0"/>
          <w:sz w:val="24"/>
        </w:rPr>
        <w:t>Toulouse</w:t>
      </w:r>
      <w:r w:rsidR="001229AC">
        <w:rPr>
          <w:rFonts w:ascii="Arial" w:eastAsia="宋体" w:hAnsi="Arial" w:cs="黑体"/>
          <w:b/>
          <w:bCs/>
          <w:noProof/>
          <w:kern w:val="0"/>
          <w:sz w:val="24"/>
        </w:rPr>
        <w:t>,</w:t>
      </w:r>
      <w:r w:rsidR="00BF0D08">
        <w:rPr>
          <w:rFonts w:ascii="Arial" w:eastAsia="宋体" w:hAnsi="Arial" w:cs="黑体"/>
          <w:b/>
          <w:bCs/>
          <w:noProof/>
          <w:kern w:val="0"/>
          <w:sz w:val="24"/>
        </w:rPr>
        <w:t xml:space="preserve"> </w:t>
      </w:r>
      <w:r>
        <w:rPr>
          <w:rFonts w:ascii="Arial" w:eastAsia="宋体" w:hAnsi="Arial" w:cs="黑体"/>
          <w:b/>
          <w:bCs/>
          <w:noProof/>
          <w:kern w:val="0"/>
          <w:sz w:val="24"/>
        </w:rPr>
        <w:t>France</w:t>
      </w:r>
      <w:r w:rsidR="00BF0D08">
        <w:rPr>
          <w:rFonts w:ascii="Arial" w:eastAsia="宋体" w:hAnsi="Arial" w:cs="黑体"/>
          <w:b/>
          <w:bCs/>
          <w:noProof/>
          <w:kern w:val="0"/>
          <w:sz w:val="24"/>
        </w:rPr>
        <w:t>,</w:t>
      </w:r>
      <w:r w:rsidR="00FB2DC5">
        <w:rPr>
          <w:rFonts w:ascii="Arial" w:eastAsia="宋体" w:hAnsi="Arial" w:cs="黑体"/>
          <w:b/>
          <w:bCs/>
          <w:noProof/>
          <w:kern w:val="0"/>
          <w:sz w:val="24"/>
        </w:rPr>
        <w:t xml:space="preserve"> </w:t>
      </w:r>
      <w:r w:rsidR="00BF0D08">
        <w:rPr>
          <w:rFonts w:ascii="Arial" w:eastAsia="宋体" w:hAnsi="Arial" w:cs="黑体"/>
          <w:b/>
          <w:bCs/>
          <w:noProof/>
          <w:kern w:val="0"/>
          <w:sz w:val="24"/>
        </w:rPr>
        <w:t>2</w:t>
      </w:r>
      <w:r>
        <w:rPr>
          <w:rFonts w:ascii="Arial" w:eastAsia="宋体" w:hAnsi="Arial" w:cs="黑体"/>
          <w:b/>
          <w:bCs/>
          <w:noProof/>
          <w:kern w:val="0"/>
          <w:sz w:val="24"/>
        </w:rPr>
        <w:t>1</w:t>
      </w:r>
      <w:r>
        <w:rPr>
          <w:rFonts w:ascii="Arial" w:eastAsia="宋体" w:hAnsi="Arial" w:cs="黑体"/>
          <w:b/>
          <w:bCs/>
          <w:noProof/>
          <w:kern w:val="0"/>
          <w:sz w:val="24"/>
          <w:vertAlign w:val="superscript"/>
        </w:rPr>
        <w:t>st</w:t>
      </w:r>
      <w:r w:rsidR="001229AC">
        <w:rPr>
          <w:rFonts w:ascii="Arial" w:eastAsia="宋体" w:hAnsi="Arial" w:cs="黑体"/>
          <w:b/>
          <w:bCs/>
          <w:noProof/>
          <w:kern w:val="0"/>
          <w:sz w:val="24"/>
        </w:rPr>
        <w:t xml:space="preserve"> </w:t>
      </w:r>
      <w:r w:rsidR="00FB2DC5" w:rsidRPr="00A26D85">
        <w:rPr>
          <w:rFonts w:ascii="Arial" w:eastAsia="宋体" w:hAnsi="Arial" w:cs="黑体"/>
          <w:b/>
          <w:bCs/>
          <w:noProof/>
          <w:kern w:val="0"/>
          <w:sz w:val="24"/>
        </w:rPr>
        <w:t xml:space="preserve">– </w:t>
      </w:r>
      <w:r w:rsidR="001229AC">
        <w:rPr>
          <w:rFonts w:ascii="Arial" w:eastAsia="宋体" w:hAnsi="Arial" w:cs="黑体"/>
          <w:b/>
          <w:bCs/>
          <w:noProof/>
          <w:kern w:val="0"/>
          <w:sz w:val="24"/>
        </w:rPr>
        <w:t>2</w:t>
      </w:r>
      <w:r>
        <w:rPr>
          <w:rFonts w:ascii="Arial" w:eastAsia="宋体" w:hAnsi="Arial" w:cs="黑体"/>
          <w:b/>
          <w:bCs/>
          <w:noProof/>
          <w:kern w:val="0"/>
          <w:sz w:val="24"/>
        </w:rPr>
        <w:t>5</w:t>
      </w:r>
      <w:r w:rsidR="001229AC">
        <w:rPr>
          <w:rFonts w:ascii="Arial" w:eastAsia="宋体" w:hAnsi="Arial" w:cs="黑体"/>
          <w:b/>
          <w:bCs/>
          <w:noProof/>
          <w:kern w:val="0"/>
          <w:sz w:val="24"/>
          <w:vertAlign w:val="superscript"/>
        </w:rPr>
        <w:t>th</w:t>
      </w:r>
      <w:r w:rsidR="00FB2DC5" w:rsidRPr="00A26D85">
        <w:rPr>
          <w:rFonts w:ascii="Arial" w:eastAsia="宋体" w:hAnsi="Arial" w:cs="黑体"/>
          <w:b/>
          <w:bCs/>
          <w:noProof/>
          <w:kern w:val="0"/>
          <w:sz w:val="24"/>
        </w:rPr>
        <w:t xml:space="preserve"> </w:t>
      </w:r>
      <w:r>
        <w:rPr>
          <w:rFonts w:ascii="Arial" w:eastAsia="宋体" w:hAnsi="Arial" w:cs="黑体"/>
          <w:b/>
          <w:bCs/>
          <w:noProof/>
          <w:kern w:val="0"/>
          <w:sz w:val="24"/>
        </w:rPr>
        <w:t>A</w:t>
      </w:r>
      <w:r>
        <w:rPr>
          <w:rFonts w:ascii="Arial" w:eastAsia="宋体" w:hAnsi="Arial" w:cs="黑体" w:hint="eastAsia"/>
          <w:b/>
          <w:bCs/>
          <w:noProof/>
          <w:kern w:val="0"/>
          <w:sz w:val="24"/>
        </w:rPr>
        <w:t>ugust</w:t>
      </w:r>
      <w:r w:rsidR="00FB2DC5" w:rsidRPr="00A26D85">
        <w:rPr>
          <w:rFonts w:ascii="Arial" w:eastAsia="宋体" w:hAnsi="Arial" w:cs="黑体"/>
          <w:b/>
          <w:bCs/>
          <w:noProof/>
          <w:kern w:val="0"/>
          <w:sz w:val="24"/>
        </w:rPr>
        <w:t>, 202</w:t>
      </w:r>
      <w:r w:rsidR="00FB2DC5">
        <w:rPr>
          <w:rFonts w:ascii="Arial" w:eastAsia="宋体" w:hAnsi="Arial" w:cs="黑体"/>
          <w:b/>
          <w:bCs/>
          <w:noProof/>
          <w:kern w:val="0"/>
          <w:sz w:val="24"/>
        </w:rPr>
        <w:t>3</w:t>
      </w:r>
      <w:r w:rsidR="005B2E70">
        <w:rPr>
          <w:rFonts w:ascii="Arial" w:eastAsia="宋体" w:hAnsi="Arial" w:cs="Arial"/>
          <w:b/>
          <w:noProof/>
          <w:kern w:val="0"/>
          <w:sz w:val="24"/>
          <w:szCs w:val="20"/>
        </w:rPr>
        <w:tab/>
      </w:r>
      <w:r w:rsidR="00AA3FAE" w:rsidRPr="00AA3FAE">
        <w:rPr>
          <w:rFonts w:ascii="Arial" w:eastAsia="宋体" w:hAnsi="Arial" w:cs="黑体"/>
          <w:b/>
          <w:bCs/>
          <w:kern w:val="0"/>
          <w:sz w:val="24"/>
          <w:lang w:val="en-GB"/>
        </w:rPr>
        <w:tab/>
      </w:r>
      <w:r w:rsidR="00AA3FAE" w:rsidRPr="000B09C9">
        <w:rPr>
          <w:rFonts w:ascii="Arial" w:eastAsia="Dotum" w:hAnsi="Arial" w:cs="Times New Roman"/>
          <w:b/>
          <w:bCs/>
          <w:kern w:val="0"/>
          <w:sz w:val="24"/>
          <w:szCs w:val="18"/>
          <w:lang w:val="en-GB"/>
        </w:rPr>
        <w:tab/>
      </w:r>
    </w:p>
    <w:p w14:paraId="0A8C0162" w14:textId="021A2513" w:rsidR="006F3844" w:rsidRDefault="006F3844" w:rsidP="006F3844">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Agenda Item:</w:t>
      </w:r>
      <w:r w:rsidRPr="00733434">
        <w:rPr>
          <w:rFonts w:ascii="Arial" w:eastAsia="宋体" w:hAnsi="Arial" w:cs="Times New Roman"/>
          <w:b/>
          <w:bCs/>
          <w:kern w:val="0"/>
          <w:sz w:val="22"/>
          <w:szCs w:val="20"/>
          <w:lang w:val="en-GB"/>
        </w:rPr>
        <w:tab/>
      </w:r>
      <w:r w:rsidR="00166E1C">
        <w:rPr>
          <w:rFonts w:ascii="Arial" w:eastAsia="宋体" w:hAnsi="Arial" w:cs="Times New Roman"/>
          <w:b/>
          <w:bCs/>
          <w:kern w:val="0"/>
          <w:sz w:val="22"/>
          <w:szCs w:val="20"/>
          <w:lang w:val="en-GB"/>
        </w:rPr>
        <w:t>7</w:t>
      </w:r>
      <w:r w:rsidRPr="000B09C9">
        <w:rPr>
          <w:rFonts w:ascii="Arial" w:eastAsia="宋体" w:hAnsi="Arial" w:cs="Times New Roman"/>
          <w:b/>
          <w:bCs/>
          <w:kern w:val="0"/>
          <w:sz w:val="22"/>
          <w:szCs w:val="20"/>
          <w:lang w:val="en-GB"/>
        </w:rPr>
        <w:t>.</w:t>
      </w:r>
      <w:r w:rsidR="005039F0">
        <w:rPr>
          <w:rFonts w:ascii="Arial" w:eastAsia="宋体" w:hAnsi="Arial" w:cs="Times New Roman"/>
          <w:b/>
          <w:bCs/>
          <w:kern w:val="0"/>
          <w:sz w:val="22"/>
          <w:szCs w:val="20"/>
          <w:lang w:val="en-GB"/>
        </w:rPr>
        <w:t>12</w:t>
      </w:r>
      <w:r w:rsidR="00175A07">
        <w:rPr>
          <w:rFonts w:ascii="Arial" w:eastAsia="宋体" w:hAnsi="Arial" w:cs="Times New Roman"/>
          <w:b/>
          <w:bCs/>
          <w:kern w:val="0"/>
          <w:sz w:val="22"/>
          <w:szCs w:val="20"/>
          <w:lang w:val="en-GB"/>
        </w:rPr>
        <w:t>.</w:t>
      </w:r>
      <w:r w:rsidR="007E0AA7">
        <w:rPr>
          <w:rFonts w:ascii="Arial" w:eastAsia="宋体" w:hAnsi="Arial" w:cs="Times New Roman"/>
          <w:b/>
          <w:bCs/>
          <w:kern w:val="0"/>
          <w:sz w:val="22"/>
          <w:szCs w:val="20"/>
          <w:lang w:val="en-GB"/>
        </w:rPr>
        <w:t>2</w:t>
      </w:r>
      <w:r w:rsidR="00166E1C">
        <w:rPr>
          <w:rFonts w:ascii="Arial" w:eastAsia="宋体" w:hAnsi="Arial" w:cs="Times New Roman"/>
          <w:b/>
          <w:bCs/>
          <w:kern w:val="0"/>
          <w:sz w:val="22"/>
          <w:szCs w:val="20"/>
          <w:lang w:val="en-GB"/>
        </w:rPr>
        <w:t>.1</w:t>
      </w:r>
    </w:p>
    <w:p w14:paraId="3A7B9F35" w14:textId="565143AE" w:rsidR="00AA3FAE" w:rsidRPr="000B09C9"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 xml:space="preserve">Source: </w:t>
      </w:r>
      <w:r w:rsidRPr="00733434">
        <w:rPr>
          <w:rFonts w:ascii="Arial" w:eastAsia="宋体" w:hAnsi="Arial" w:cs="Times New Roman"/>
          <w:b/>
          <w:bCs/>
          <w:kern w:val="0"/>
          <w:sz w:val="22"/>
          <w:szCs w:val="20"/>
          <w:lang w:val="en-GB"/>
        </w:rPr>
        <w:tab/>
      </w:r>
      <w:r w:rsidRPr="000B09C9">
        <w:rPr>
          <w:rFonts w:ascii="Arial" w:eastAsia="宋体" w:hAnsi="Arial" w:cs="Times New Roman"/>
          <w:b/>
          <w:bCs/>
          <w:kern w:val="0"/>
          <w:sz w:val="22"/>
          <w:szCs w:val="20"/>
          <w:lang w:val="en-GB"/>
        </w:rPr>
        <w:t>Lenovo</w:t>
      </w:r>
    </w:p>
    <w:p w14:paraId="396CAC10" w14:textId="335C6CD7" w:rsidR="006F3844" w:rsidRPr="006F3844" w:rsidRDefault="006F3844" w:rsidP="006F3844">
      <w:pPr>
        <w:widowControl/>
        <w:tabs>
          <w:tab w:val="left" w:pos="1701"/>
          <w:tab w:val="right" w:pos="9639"/>
        </w:tabs>
        <w:overflowPunct w:val="0"/>
        <w:autoSpaceDE w:val="0"/>
        <w:autoSpaceDN w:val="0"/>
        <w:adjustRightInd w:val="0"/>
        <w:spacing w:after="240"/>
        <w:ind w:left="3865" w:hangingChars="1750" w:hanging="3865"/>
        <w:textAlignment w:val="baseline"/>
        <w:rPr>
          <w:rFonts w:ascii="Arial" w:hAnsi="Arial" w:cs="Times New Roman"/>
          <w:b/>
          <w:bCs/>
          <w:kern w:val="0"/>
          <w:sz w:val="22"/>
          <w:szCs w:val="20"/>
          <w:lang w:val="en-GB"/>
        </w:rPr>
      </w:pPr>
      <w:r w:rsidRPr="00733434">
        <w:rPr>
          <w:rFonts w:ascii="Arial" w:eastAsia="宋体" w:hAnsi="Arial" w:cs="Times New Roman"/>
          <w:b/>
          <w:bCs/>
          <w:kern w:val="0"/>
          <w:sz w:val="22"/>
          <w:szCs w:val="20"/>
          <w:lang w:val="en-GB"/>
        </w:rPr>
        <w:t xml:space="preserve">Title: </w:t>
      </w:r>
      <w:r w:rsidRPr="00733434">
        <w:rPr>
          <w:rFonts w:ascii="Arial" w:eastAsia="宋体" w:hAnsi="Arial" w:cs="Times New Roman"/>
          <w:b/>
          <w:bCs/>
          <w:kern w:val="0"/>
          <w:sz w:val="22"/>
          <w:szCs w:val="20"/>
          <w:lang w:val="en-GB"/>
        </w:rPr>
        <w:tab/>
      </w:r>
      <w:r w:rsidR="00253AF0" w:rsidRPr="00253AF0">
        <w:rPr>
          <w:rFonts w:ascii="Arial" w:eastAsia="宋体" w:hAnsi="Arial" w:cs="Times New Roman"/>
          <w:b/>
          <w:bCs/>
          <w:kern w:val="0"/>
          <w:sz w:val="22"/>
          <w:szCs w:val="20"/>
          <w:lang w:val="en-GB"/>
        </w:rPr>
        <w:t xml:space="preserve">Mobility enhancements for mobile IAB-node and its </w:t>
      </w:r>
      <w:r w:rsidR="00D248E0">
        <w:rPr>
          <w:rFonts w:ascii="Arial" w:eastAsia="宋体" w:hAnsi="Arial" w:cs="Times New Roman"/>
          <w:b/>
          <w:bCs/>
          <w:kern w:val="0"/>
          <w:sz w:val="22"/>
          <w:szCs w:val="20"/>
          <w:lang w:val="en-GB"/>
        </w:rPr>
        <w:t>connected</w:t>
      </w:r>
      <w:r w:rsidR="00253AF0" w:rsidRPr="00253AF0">
        <w:rPr>
          <w:rFonts w:ascii="Arial" w:eastAsia="宋体" w:hAnsi="Arial" w:cs="Times New Roman"/>
          <w:b/>
          <w:bCs/>
          <w:kern w:val="0"/>
          <w:sz w:val="22"/>
          <w:szCs w:val="20"/>
          <w:lang w:val="en-GB"/>
        </w:rPr>
        <w:t xml:space="preserve"> UE</w:t>
      </w:r>
    </w:p>
    <w:p w14:paraId="586F74AD" w14:textId="77777777" w:rsidR="00AA3FAE" w:rsidRPr="000B09C9"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Document for:</w:t>
      </w:r>
      <w:r w:rsidRPr="00733434">
        <w:rPr>
          <w:rFonts w:ascii="Arial" w:eastAsia="宋体" w:hAnsi="Arial" w:cs="Times New Roman"/>
          <w:b/>
          <w:bCs/>
          <w:kern w:val="0"/>
          <w:sz w:val="22"/>
          <w:szCs w:val="20"/>
          <w:lang w:val="en-GB"/>
        </w:rPr>
        <w:tab/>
      </w:r>
      <w:r w:rsidRPr="000B09C9">
        <w:rPr>
          <w:rFonts w:ascii="Arial" w:eastAsia="宋体" w:hAnsi="Arial" w:cs="Times New Roman"/>
          <w:b/>
          <w:bCs/>
          <w:kern w:val="0"/>
          <w:sz w:val="22"/>
          <w:szCs w:val="20"/>
          <w:lang w:val="en-GB"/>
        </w:rPr>
        <w:t>Discussion and decision</w:t>
      </w:r>
    </w:p>
    <w:p w14:paraId="46DBFDB8" w14:textId="10C31FE6" w:rsidR="00AA3FAE" w:rsidRPr="000D2B2B" w:rsidRDefault="00AA3FAE" w:rsidP="000D2B2B">
      <w:pPr>
        <w:pStyle w:val="ac"/>
        <w:keepNext/>
        <w:keepLines/>
        <w:widowControl/>
        <w:numPr>
          <w:ilvl w:val="0"/>
          <w:numId w:val="5"/>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0D2B2B">
        <w:rPr>
          <w:rFonts w:ascii="Arial" w:eastAsia="Dotum" w:hAnsi="Arial" w:cs="Times New Roman"/>
          <w:kern w:val="0"/>
          <w:sz w:val="36"/>
          <w:szCs w:val="36"/>
          <w:lang w:val="en-GB"/>
        </w:rPr>
        <w:t>Introduction</w:t>
      </w:r>
      <w:bookmarkStart w:id="0" w:name="_Ref174151459"/>
      <w:bookmarkStart w:id="1" w:name="_Ref189809556"/>
    </w:p>
    <w:p w14:paraId="0B56E0A4" w14:textId="3CF821B9" w:rsidR="00A61DF4" w:rsidRDefault="00A61DF4" w:rsidP="00A61DF4">
      <w:pPr>
        <w:widowControl/>
        <w:overflowPunct w:val="0"/>
        <w:autoSpaceDE w:val="0"/>
        <w:autoSpaceDN w:val="0"/>
        <w:adjustRightInd w:val="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A new WID for mobile IAB-node [1] has been approved to be discussed in Rel-18, and following detail objectives are identified mainly focus on RAN3 and RAN2.</w:t>
      </w:r>
      <w:r w:rsidR="00E048A2">
        <w:rPr>
          <w:rFonts w:ascii="Times New Roman" w:eastAsia="宋体" w:hAnsi="Times New Roman" w:cs="Times New Roman"/>
          <w:kern w:val="0"/>
          <w:sz w:val="20"/>
          <w:szCs w:val="20"/>
        </w:rPr>
        <w:t xml:space="preserve"> </w:t>
      </w:r>
    </w:p>
    <w:tbl>
      <w:tblPr>
        <w:tblpPr w:leftFromText="180" w:rightFromText="180" w:vertAnchor="text" w:tblpX="11" w:tblpY="171"/>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0"/>
      </w:tblGrid>
      <w:tr w:rsidR="00A61DF4" w14:paraId="059CB986" w14:textId="77777777" w:rsidTr="00F32368">
        <w:trPr>
          <w:trHeight w:val="1266"/>
        </w:trPr>
        <w:tc>
          <w:tcPr>
            <w:tcW w:w="9670" w:type="dxa"/>
          </w:tcPr>
          <w:p w14:paraId="73BCEB24" w14:textId="77777777" w:rsidR="00712DD9" w:rsidRPr="00712DD9" w:rsidRDefault="00712DD9" w:rsidP="00712DD9">
            <w:pPr>
              <w:pStyle w:val="maintext"/>
              <w:numPr>
                <w:ilvl w:val="0"/>
                <w:numId w:val="16"/>
              </w:numPr>
              <w:spacing w:line="240" w:lineRule="auto"/>
              <w:ind w:firstLineChars="0"/>
              <w:rPr>
                <w:rFonts w:eastAsia="Times New Roman" w:cs="Times New Roman"/>
                <w:lang w:eastAsia="en-US"/>
              </w:rPr>
            </w:pPr>
            <w:r w:rsidRPr="00712DD9">
              <w:rPr>
                <w:rFonts w:eastAsia="Times New Roman" w:cs="Times New Roman"/>
                <w:lang w:eastAsia="en-US"/>
              </w:rPr>
              <w:t>Define Procedures for migration/topology adaptation to enable IAB-node mobility, including inter-donor migration of the entire mobile IAB-node (full migration) [RAN3, RAN2]</w:t>
            </w:r>
          </w:p>
          <w:p w14:paraId="3195C568" w14:textId="77777777" w:rsidR="00712DD9" w:rsidRPr="00712DD9" w:rsidRDefault="00712DD9" w:rsidP="00712DD9">
            <w:pPr>
              <w:pStyle w:val="maintext"/>
              <w:numPr>
                <w:ilvl w:val="1"/>
                <w:numId w:val="16"/>
              </w:numPr>
              <w:spacing w:line="240" w:lineRule="auto"/>
              <w:ind w:firstLineChars="0"/>
              <w:rPr>
                <w:rFonts w:eastAsia="Times New Roman" w:cs="Times New Roman"/>
                <w:lang w:eastAsia="en-US"/>
              </w:rPr>
            </w:pPr>
            <w:r w:rsidRPr="00712DD9">
              <w:rPr>
                <w:rFonts w:eastAsia="Times New Roman" w:cs="Times New Roman"/>
                <w:lang w:eastAsia="en-US"/>
              </w:rPr>
              <w:t>The mobile IAB-node can connect to a stationary (intermediate) IAB-node. Optimizations specific to the scenarios, where the mobile IAB-node connects to a stationary (intermediate) IAB-node, or where it directly connects to an IAB-donor-DU are de-prioritized.</w:t>
            </w:r>
          </w:p>
          <w:p w14:paraId="59C2EE09" w14:textId="77777777" w:rsidR="00712DD9" w:rsidRPr="00712DD9" w:rsidRDefault="00712DD9" w:rsidP="00712DD9">
            <w:pPr>
              <w:pStyle w:val="maintext"/>
              <w:numPr>
                <w:ilvl w:val="1"/>
                <w:numId w:val="16"/>
              </w:numPr>
              <w:spacing w:line="240" w:lineRule="auto"/>
              <w:ind w:firstLineChars="0"/>
              <w:rPr>
                <w:rFonts w:eastAsia="Times New Roman" w:cs="Times New Roman"/>
                <w:lang w:eastAsia="en-US"/>
              </w:rPr>
            </w:pPr>
            <w:r w:rsidRPr="00712DD9">
              <w:rPr>
                <w:rFonts w:eastAsia="Times New Roman" w:cs="Times New Roman"/>
                <w:lang w:eastAsia="en-US"/>
              </w:rPr>
              <w:t>The mobility of dual-connected IAB-nodes is down-prioritized.</w:t>
            </w:r>
          </w:p>
          <w:p w14:paraId="2632C582" w14:textId="77777777" w:rsidR="00712DD9" w:rsidRPr="00712DD9" w:rsidRDefault="00712DD9" w:rsidP="00712DD9">
            <w:pPr>
              <w:pStyle w:val="maintext"/>
              <w:numPr>
                <w:ilvl w:val="0"/>
                <w:numId w:val="16"/>
              </w:numPr>
              <w:spacing w:line="240" w:lineRule="auto"/>
              <w:ind w:firstLineChars="0"/>
              <w:rPr>
                <w:rFonts w:eastAsia="Times New Roman" w:cs="Times New Roman"/>
                <w:lang w:eastAsia="en-US"/>
              </w:rPr>
            </w:pPr>
            <w:r w:rsidRPr="00712DD9">
              <w:rPr>
                <w:rFonts w:eastAsia="Times New Roman" w:cs="Times New Roman"/>
                <w:lang w:eastAsia="en-US"/>
              </w:rPr>
              <w:t>Enhancements for mobility of an IAB-node together with its served UEs, including aspects related to group mobility. No optimizations for the targeting of surrounding UEs. [RAN3, RAN2]</w:t>
            </w:r>
          </w:p>
          <w:p w14:paraId="04CFD7D5" w14:textId="77777777" w:rsidR="00712DD9" w:rsidRPr="00712DD9" w:rsidRDefault="00712DD9" w:rsidP="00712DD9">
            <w:pPr>
              <w:pStyle w:val="maintext"/>
              <w:spacing w:line="240" w:lineRule="auto"/>
              <w:ind w:left="720" w:firstLineChars="0" w:firstLine="0"/>
              <w:rPr>
                <w:rFonts w:eastAsia="Times New Roman" w:cs="Times New Roman"/>
                <w:i/>
                <w:iCs/>
                <w:lang w:eastAsia="en-US"/>
              </w:rPr>
            </w:pPr>
            <w:r w:rsidRPr="00712DD9">
              <w:rPr>
                <w:rFonts w:eastAsia="Times New Roman" w:cs="Times New Roman"/>
                <w:i/>
                <w:iCs/>
                <w:lang w:eastAsia="en-US"/>
              </w:rPr>
              <w:t>Note: Solutions should avoid touching upon topics where Rel-17 discussions already occurred and where the topic was excluded from Rel-17, except for enhancements that are specific to IAB-node mobility.</w:t>
            </w:r>
          </w:p>
          <w:p w14:paraId="1C6263D6" w14:textId="3497C46C" w:rsidR="00A61DF4" w:rsidRPr="00732338" w:rsidRDefault="00712DD9" w:rsidP="00712DD9">
            <w:pPr>
              <w:pStyle w:val="maintext"/>
              <w:numPr>
                <w:ilvl w:val="0"/>
                <w:numId w:val="16"/>
              </w:numPr>
              <w:spacing w:line="240" w:lineRule="auto"/>
              <w:ind w:firstLineChars="0"/>
              <w:rPr>
                <w:lang w:eastAsia="en-GB"/>
              </w:rPr>
            </w:pPr>
            <w:r w:rsidRPr="00712DD9">
              <w:rPr>
                <w:rFonts w:eastAsia="Times New Roman" w:cs="Times New Roman"/>
                <w:lang w:eastAsia="en-US"/>
              </w:rPr>
              <w:t>Mitigation of interference due to IAB-node mobility, including the avoidance of potential reference and control signal collisions (e.g. PCI, RACH). [RAN3, RAN2]</w:t>
            </w:r>
          </w:p>
        </w:tc>
      </w:tr>
    </w:tbl>
    <w:p w14:paraId="0B940363" w14:textId="651D4CAD" w:rsidR="00A61DF4" w:rsidRDefault="00A61DF4" w:rsidP="00A61DF4">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this contribution, </w:t>
      </w:r>
      <w:r w:rsidR="003752E3">
        <w:rPr>
          <w:rFonts w:ascii="Times New Roman" w:eastAsia="宋体" w:hAnsi="Times New Roman" w:cs="Times New Roman"/>
          <w:kern w:val="0"/>
          <w:sz w:val="20"/>
          <w:szCs w:val="20"/>
        </w:rPr>
        <w:t xml:space="preserve">mobility </w:t>
      </w:r>
      <w:r>
        <w:rPr>
          <w:rFonts w:ascii="Times New Roman" w:eastAsia="宋体" w:hAnsi="Times New Roman" w:cs="Times New Roman"/>
          <w:kern w:val="0"/>
          <w:sz w:val="20"/>
          <w:szCs w:val="20"/>
        </w:rPr>
        <w:t>enhancement</w:t>
      </w:r>
      <w:r w:rsidR="006F3309">
        <w:rPr>
          <w:rFonts w:ascii="Times New Roman" w:eastAsia="宋体" w:hAnsi="Times New Roman" w:cs="Times New Roman"/>
          <w:kern w:val="0"/>
          <w:sz w:val="20"/>
          <w:szCs w:val="20"/>
        </w:rPr>
        <w:t>s</w:t>
      </w:r>
      <w:r>
        <w:rPr>
          <w:rFonts w:ascii="Times New Roman" w:eastAsia="宋体" w:hAnsi="Times New Roman" w:cs="Times New Roman"/>
          <w:kern w:val="0"/>
          <w:sz w:val="20"/>
          <w:szCs w:val="20"/>
        </w:rPr>
        <w:t xml:space="preserve"> for mobile IAB-node </w:t>
      </w:r>
      <w:r w:rsidR="003752E3">
        <w:rPr>
          <w:rFonts w:ascii="Times New Roman" w:eastAsia="宋体" w:hAnsi="Times New Roman" w:cs="Times New Roman"/>
          <w:kern w:val="0"/>
          <w:sz w:val="20"/>
          <w:szCs w:val="20"/>
        </w:rPr>
        <w:t xml:space="preserve">and its connected UEs </w:t>
      </w:r>
      <w:r w:rsidR="004E4425">
        <w:rPr>
          <w:rFonts w:ascii="Times New Roman" w:eastAsia="宋体" w:hAnsi="Times New Roman" w:cs="Times New Roman"/>
          <w:kern w:val="0"/>
          <w:sz w:val="20"/>
          <w:szCs w:val="20"/>
        </w:rPr>
        <w:t>are</w:t>
      </w:r>
      <w:r>
        <w:rPr>
          <w:rFonts w:ascii="Times New Roman" w:eastAsia="宋体" w:hAnsi="Times New Roman" w:cs="Times New Roman"/>
          <w:kern w:val="0"/>
          <w:sz w:val="20"/>
          <w:szCs w:val="20"/>
        </w:rPr>
        <w:t xml:space="preserve"> discussed, including </w:t>
      </w:r>
      <w:r w:rsidRPr="006E5566">
        <w:rPr>
          <w:rFonts w:ascii="Times New Roman" w:eastAsia="宋体" w:hAnsi="Times New Roman" w:cs="Times New Roman"/>
          <w:kern w:val="0"/>
          <w:sz w:val="20"/>
          <w:szCs w:val="20"/>
        </w:rPr>
        <w:t xml:space="preserve">aspects related to </w:t>
      </w:r>
      <w:r w:rsidR="003752E3">
        <w:rPr>
          <w:rFonts w:ascii="Times New Roman" w:eastAsia="宋体" w:hAnsi="Times New Roman" w:cs="Times New Roman"/>
          <w:kern w:val="0"/>
          <w:sz w:val="20"/>
          <w:szCs w:val="20"/>
        </w:rPr>
        <w:t>CHO, RACH-less HO</w:t>
      </w:r>
      <w:r w:rsidR="00857106">
        <w:rPr>
          <w:rFonts w:ascii="Times New Roman" w:eastAsia="宋体" w:hAnsi="Times New Roman" w:cs="Times New Roman"/>
          <w:kern w:val="0"/>
          <w:sz w:val="20"/>
          <w:szCs w:val="20"/>
        </w:rPr>
        <w:t>,</w:t>
      </w:r>
      <w:r w:rsidR="003752E3">
        <w:rPr>
          <w:rFonts w:ascii="Times New Roman" w:eastAsia="宋体" w:hAnsi="Times New Roman" w:cs="Times New Roman"/>
          <w:kern w:val="0"/>
          <w:sz w:val="20"/>
          <w:szCs w:val="20"/>
        </w:rPr>
        <w:t xml:space="preserve"> and some other aspects</w:t>
      </w:r>
      <w:r>
        <w:rPr>
          <w:rFonts w:ascii="Times New Roman" w:eastAsia="宋体" w:hAnsi="Times New Roman" w:cs="Times New Roman"/>
          <w:kern w:val="0"/>
          <w:sz w:val="20"/>
          <w:szCs w:val="20"/>
        </w:rPr>
        <w:t>.</w:t>
      </w:r>
    </w:p>
    <w:p w14:paraId="47F0D14A" w14:textId="270B1293" w:rsidR="00AA3FAE" w:rsidRPr="001119CE" w:rsidRDefault="00AA3FAE" w:rsidP="001119CE">
      <w:pPr>
        <w:pStyle w:val="ac"/>
        <w:keepNext/>
        <w:keepLines/>
        <w:widowControl/>
        <w:numPr>
          <w:ilvl w:val="0"/>
          <w:numId w:val="5"/>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1119CE">
        <w:rPr>
          <w:rFonts w:ascii="Arial" w:eastAsia="宋体" w:hAnsi="Arial" w:cs="Times New Roman"/>
          <w:kern w:val="0"/>
          <w:sz w:val="36"/>
          <w:szCs w:val="36"/>
          <w:lang w:val="en-GB"/>
        </w:rPr>
        <w:t>Discussion</w:t>
      </w:r>
    </w:p>
    <w:p w14:paraId="5B00ECAC" w14:textId="40BE3FD6" w:rsidR="00D02D3B" w:rsidRPr="0066723C" w:rsidRDefault="00D02D3B" w:rsidP="00D02D3B">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Pr>
          <w:rFonts w:ascii="Times New Roman" w:eastAsia="宋体" w:hAnsi="Times New Roman" w:cs="Times New Roman"/>
          <w:b/>
          <w:bCs/>
          <w:kern w:val="0"/>
          <w:sz w:val="22"/>
          <w:u w:val="single"/>
        </w:rPr>
        <w:t>Conditional handover for served UEs</w:t>
      </w:r>
    </w:p>
    <w:tbl>
      <w:tblPr>
        <w:tblW w:w="9650"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50"/>
      </w:tblGrid>
      <w:tr w:rsidR="00657ABB" w14:paraId="326D3BFD" w14:textId="77777777" w:rsidTr="00657ABB">
        <w:trPr>
          <w:trHeight w:val="2615"/>
        </w:trPr>
        <w:tc>
          <w:tcPr>
            <w:tcW w:w="9650" w:type="dxa"/>
          </w:tcPr>
          <w:p w14:paraId="14B6EE30" w14:textId="5AE2B082" w:rsidR="00657ABB" w:rsidRPr="00657ABB" w:rsidRDefault="00BB5FC3" w:rsidP="00657ABB">
            <w:pPr>
              <w:widowControl/>
              <w:spacing w:after="180"/>
              <w:jc w:val="left"/>
              <w:rPr>
                <w:rFonts w:ascii="Times New Roman" w:eastAsia="宋体" w:hAnsi="Times New Roman" w:cs="Times New Roman"/>
                <w:kern w:val="0"/>
                <w:sz w:val="20"/>
                <w:szCs w:val="20"/>
              </w:rPr>
            </w:pPr>
            <w:r w:rsidRPr="003E0973">
              <w:rPr>
                <w:rFonts w:ascii="Times New Roman" w:hAnsi="Times New Roman" w:cs="Times New Roman"/>
                <w:b/>
                <w:bCs/>
              </w:rPr>
              <w:t>Agreements</w:t>
            </w:r>
            <w:r>
              <w:rPr>
                <w:rFonts w:ascii="Times New Roman" w:hAnsi="Times New Roman" w:cs="Times New Roman"/>
                <w:b/>
                <w:bCs/>
              </w:rPr>
              <w:t xml:space="preserve"> from </w:t>
            </w:r>
            <w:r w:rsidR="00657ABB">
              <w:rPr>
                <w:rFonts w:ascii="Times New Roman" w:eastAsia="宋体" w:hAnsi="Times New Roman" w:cs="Times New Roman"/>
                <w:b/>
                <w:bCs/>
                <w:kern w:val="0"/>
                <w:sz w:val="20"/>
                <w:szCs w:val="20"/>
              </w:rPr>
              <w:t>RAN2 119bis-e:</w:t>
            </w:r>
          </w:p>
          <w:p w14:paraId="5B30401D" w14:textId="77777777" w:rsidR="00657ABB" w:rsidRPr="004B24FB" w:rsidRDefault="00657ABB" w:rsidP="00657ABB">
            <w:pPr>
              <w:pStyle w:val="Doc-text2"/>
              <w:rPr>
                <w:i/>
                <w:iCs/>
                <w:lang w:val="en-US"/>
              </w:rPr>
            </w:pPr>
            <w:r w:rsidRPr="004B24FB">
              <w:rPr>
                <w:i/>
                <w:iCs/>
                <w:lang w:val="en-US"/>
              </w:rPr>
              <w:t xml:space="preserve">1) message withholding by the logical source IAB-DU with conditional delivery, e.g., upon on MT migration, </w:t>
            </w:r>
          </w:p>
          <w:p w14:paraId="65187EA9" w14:textId="77777777" w:rsidR="00657ABB" w:rsidRPr="004B24FB" w:rsidRDefault="00657ABB" w:rsidP="00657ABB">
            <w:pPr>
              <w:pStyle w:val="Doc-text2"/>
              <w:rPr>
                <w:i/>
                <w:iCs/>
                <w:lang w:val="en-US"/>
              </w:rPr>
            </w:pPr>
            <w:r w:rsidRPr="004B24FB">
              <w:rPr>
                <w:i/>
                <w:iCs/>
                <w:lang w:val="en-US"/>
              </w:rPr>
              <w:t>2) conditional execution by the UE based on, e.g., a broadcast indication such as SIB indication of service time or DCI indication of MT-migration,</w:t>
            </w:r>
            <w:r>
              <w:rPr>
                <w:i/>
                <w:iCs/>
                <w:lang w:val="en-US"/>
              </w:rPr>
              <w:t xml:space="preserve"> (includes CHO with new trigger). </w:t>
            </w:r>
          </w:p>
          <w:p w14:paraId="77C00956" w14:textId="77777777" w:rsidR="00657ABB" w:rsidRPr="004B24FB" w:rsidRDefault="00657ABB" w:rsidP="00657ABB">
            <w:pPr>
              <w:pStyle w:val="Doc-text2"/>
              <w:rPr>
                <w:i/>
                <w:iCs/>
                <w:lang w:val="en-US"/>
              </w:rPr>
            </w:pPr>
            <w:r w:rsidRPr="004B24FB">
              <w:rPr>
                <w:i/>
                <w:iCs/>
                <w:lang w:val="en-US"/>
              </w:rPr>
              <w:t>3) legacy CHO (with implementation specific behaviour, e.g. using source-cell power down or target cell power up triggering the actual HO)</w:t>
            </w:r>
          </w:p>
          <w:p w14:paraId="2DCD2766" w14:textId="57CA9CC9" w:rsidR="00657ABB" w:rsidRPr="00657ABB" w:rsidRDefault="00657ABB" w:rsidP="00657ABB">
            <w:pPr>
              <w:pStyle w:val="Agreement"/>
              <w:tabs>
                <w:tab w:val="clear" w:pos="-896"/>
                <w:tab w:val="num" w:pos="1619"/>
              </w:tabs>
              <w:ind w:left="1619"/>
            </w:pPr>
            <w:r>
              <w:t xml:space="preserve">RAN2 assumes that O1 and O3 above could work, and FFS if O2 above (new trigger etc) is needed. </w:t>
            </w:r>
          </w:p>
        </w:tc>
      </w:tr>
    </w:tbl>
    <w:p w14:paraId="23F20B99" w14:textId="146BF96F" w:rsidR="007650AE" w:rsidRDefault="00657ABB" w:rsidP="00D02D3B">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Option 1, </w:t>
      </w:r>
      <w:r w:rsidR="00317D40" w:rsidRPr="00317D40">
        <w:rPr>
          <w:rFonts w:ascii="Times New Roman" w:eastAsia="宋体" w:hAnsi="Times New Roman" w:cs="Times New Roman"/>
          <w:kern w:val="0"/>
          <w:sz w:val="20"/>
          <w:szCs w:val="20"/>
        </w:rPr>
        <w:t>RRC Reconfiguration message</w:t>
      </w:r>
      <w:r w:rsidR="00317D40">
        <w:rPr>
          <w:rFonts w:ascii="Times New Roman" w:eastAsia="宋体" w:hAnsi="Times New Roman" w:cs="Times New Roman"/>
          <w:kern w:val="0"/>
          <w:sz w:val="20"/>
          <w:szCs w:val="20"/>
        </w:rPr>
        <w:t>s</w:t>
      </w:r>
      <w:r w:rsidR="00317D40" w:rsidRPr="00317D40">
        <w:rPr>
          <w:rFonts w:ascii="Times New Roman" w:eastAsia="宋体" w:hAnsi="Times New Roman" w:cs="Times New Roman"/>
          <w:kern w:val="0"/>
          <w:sz w:val="20"/>
          <w:szCs w:val="20"/>
        </w:rPr>
        <w:t xml:space="preserve"> </w:t>
      </w:r>
      <w:r w:rsidR="00317D40">
        <w:rPr>
          <w:rFonts w:ascii="Times New Roman" w:eastAsia="宋体" w:hAnsi="Times New Roman" w:cs="Times New Roman"/>
          <w:kern w:val="0"/>
          <w:sz w:val="20"/>
          <w:szCs w:val="20"/>
        </w:rPr>
        <w:t>are firstly</w:t>
      </w:r>
      <w:r w:rsidR="00317D40" w:rsidRPr="00317D40">
        <w:rPr>
          <w:rFonts w:ascii="Times New Roman" w:eastAsia="宋体" w:hAnsi="Times New Roman" w:cs="Times New Roman"/>
          <w:kern w:val="0"/>
          <w:sz w:val="20"/>
          <w:szCs w:val="20"/>
        </w:rPr>
        <w:t xml:space="preserve"> sent to source IAB-DU</w:t>
      </w:r>
      <w:r w:rsidR="00317D40">
        <w:rPr>
          <w:rFonts w:ascii="Times New Roman" w:eastAsia="宋体" w:hAnsi="Times New Roman" w:cs="Times New Roman"/>
          <w:kern w:val="0"/>
          <w:sz w:val="20"/>
          <w:szCs w:val="20"/>
        </w:rPr>
        <w:t xml:space="preserve"> of mobile IAB-node, and the source IAB-DU withholds the </w:t>
      </w:r>
      <w:r w:rsidR="00317D40" w:rsidRPr="00317D40">
        <w:rPr>
          <w:rFonts w:ascii="Times New Roman" w:eastAsia="宋体" w:hAnsi="Times New Roman" w:cs="Times New Roman"/>
          <w:kern w:val="0"/>
          <w:sz w:val="20"/>
          <w:szCs w:val="20"/>
        </w:rPr>
        <w:t>RRC Reconfiguration message</w:t>
      </w:r>
      <w:r w:rsidR="00317D40">
        <w:rPr>
          <w:rFonts w:ascii="Times New Roman" w:eastAsia="宋体" w:hAnsi="Times New Roman" w:cs="Times New Roman"/>
          <w:kern w:val="0"/>
          <w:sz w:val="20"/>
          <w:szCs w:val="20"/>
        </w:rPr>
        <w:t xml:space="preserve">s until some specific conditions are met and </w:t>
      </w:r>
      <w:r w:rsidR="00875D9D">
        <w:rPr>
          <w:rFonts w:ascii="Times New Roman" w:eastAsia="宋体" w:hAnsi="Times New Roman" w:cs="Times New Roman"/>
          <w:kern w:val="0"/>
          <w:sz w:val="20"/>
          <w:szCs w:val="20"/>
        </w:rPr>
        <w:t xml:space="preserve">then </w:t>
      </w:r>
      <w:r w:rsidR="00C44701">
        <w:rPr>
          <w:rFonts w:ascii="Times New Roman" w:eastAsia="宋体" w:hAnsi="Times New Roman" w:cs="Times New Roman"/>
          <w:kern w:val="0"/>
          <w:sz w:val="20"/>
          <w:szCs w:val="20"/>
        </w:rPr>
        <w:t>delivers</w:t>
      </w:r>
      <w:r w:rsidR="00317D40">
        <w:rPr>
          <w:rFonts w:ascii="Times New Roman" w:eastAsia="宋体" w:hAnsi="Times New Roman" w:cs="Times New Roman"/>
          <w:kern w:val="0"/>
          <w:sz w:val="20"/>
          <w:szCs w:val="20"/>
        </w:rPr>
        <w:t xml:space="preserve"> the </w:t>
      </w:r>
      <w:r w:rsidR="00317D40" w:rsidRPr="00317D40">
        <w:rPr>
          <w:rFonts w:ascii="Times New Roman" w:eastAsia="宋体" w:hAnsi="Times New Roman" w:cs="Times New Roman"/>
          <w:kern w:val="0"/>
          <w:sz w:val="20"/>
          <w:szCs w:val="20"/>
        </w:rPr>
        <w:t>RRC Reconfiguration message</w:t>
      </w:r>
      <w:r w:rsidR="00317D40">
        <w:rPr>
          <w:rFonts w:ascii="Times New Roman" w:eastAsia="宋体" w:hAnsi="Times New Roman" w:cs="Times New Roman"/>
          <w:kern w:val="0"/>
          <w:sz w:val="20"/>
          <w:szCs w:val="20"/>
        </w:rPr>
        <w:t>s to each connected UEs.</w:t>
      </w:r>
      <w:r w:rsidR="00875D9D">
        <w:rPr>
          <w:rFonts w:ascii="Times New Roman" w:eastAsia="宋体" w:hAnsi="Times New Roman" w:cs="Times New Roman"/>
          <w:kern w:val="0"/>
          <w:sz w:val="20"/>
          <w:szCs w:val="20"/>
        </w:rPr>
        <w:t xml:space="preserve"> </w:t>
      </w:r>
      <w:r w:rsidR="00C44701">
        <w:rPr>
          <w:rFonts w:ascii="Times New Roman" w:eastAsia="宋体" w:hAnsi="Times New Roman" w:cs="Times New Roman"/>
          <w:kern w:val="0"/>
          <w:sz w:val="20"/>
          <w:szCs w:val="20"/>
        </w:rPr>
        <w:t>Because s</w:t>
      </w:r>
      <w:r w:rsidR="00BE1FB3">
        <w:rPr>
          <w:rFonts w:ascii="Times New Roman" w:eastAsia="宋体" w:hAnsi="Times New Roman" w:cs="Times New Roman"/>
          <w:kern w:val="0"/>
          <w:sz w:val="20"/>
          <w:szCs w:val="20"/>
        </w:rPr>
        <w:t>imilar delay RRC configuration procedure has been defined in RAN3 during R17</w:t>
      </w:r>
      <w:r w:rsidR="00220099">
        <w:rPr>
          <w:rFonts w:ascii="Times New Roman" w:eastAsia="宋体" w:hAnsi="Times New Roman" w:cs="Times New Roman"/>
          <w:kern w:val="0"/>
          <w:sz w:val="20"/>
          <w:szCs w:val="20"/>
        </w:rPr>
        <w:t xml:space="preserve"> for</w:t>
      </w:r>
      <w:r w:rsidR="00220099" w:rsidRPr="00220099">
        <w:rPr>
          <w:rFonts w:ascii="Times New Roman" w:eastAsia="宋体" w:hAnsi="Times New Roman" w:cs="Times New Roman"/>
          <w:kern w:val="0"/>
          <w:sz w:val="20"/>
          <w:szCs w:val="20"/>
        </w:rPr>
        <w:t xml:space="preserve"> reconfiguration of descendent nodes during intra-donor migration</w:t>
      </w:r>
      <w:r w:rsidR="00C44701">
        <w:rPr>
          <w:rFonts w:ascii="Times New Roman" w:eastAsia="宋体" w:hAnsi="Times New Roman" w:cs="Times New Roman"/>
          <w:kern w:val="0"/>
          <w:sz w:val="20"/>
          <w:szCs w:val="20"/>
        </w:rPr>
        <w:t xml:space="preserve">, and the Option 1 has no impacts on legacy UEs. However, for the deliver condition, </w:t>
      </w:r>
      <w:r w:rsidR="000E6C5A">
        <w:rPr>
          <w:rFonts w:ascii="Times New Roman" w:eastAsia="宋体" w:hAnsi="Times New Roman" w:cs="Times New Roman"/>
          <w:kern w:val="0"/>
          <w:sz w:val="20"/>
          <w:szCs w:val="20"/>
        </w:rPr>
        <w:t>MT migration may not feasible as defined in RAN3 that IAB-MT handover and IAB-DU migration is</w:t>
      </w:r>
      <w:r w:rsidR="000E6C5A" w:rsidRPr="000E6C5A">
        <w:rPr>
          <w:rFonts w:ascii="Times New Roman" w:eastAsia="宋体" w:hAnsi="Times New Roman" w:cs="Times New Roman"/>
          <w:kern w:val="0"/>
          <w:sz w:val="20"/>
          <w:szCs w:val="20"/>
        </w:rPr>
        <w:t xml:space="preserve"> executed independently</w:t>
      </w:r>
      <w:r w:rsidR="000E6C5A">
        <w:rPr>
          <w:rFonts w:ascii="Times New Roman" w:eastAsia="宋体" w:hAnsi="Times New Roman" w:cs="Times New Roman"/>
          <w:kern w:val="0"/>
          <w:sz w:val="20"/>
          <w:szCs w:val="20"/>
        </w:rPr>
        <w:t xml:space="preserve">. </w:t>
      </w:r>
    </w:p>
    <w:p w14:paraId="58E05EE9" w14:textId="461A1CF1" w:rsidR="00D02D3B" w:rsidRDefault="007650AE" w:rsidP="00D02D3B">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For Option 2, because it’s not supported by the legacy UEs, then this option can be deprioritized.</w:t>
      </w:r>
    </w:p>
    <w:p w14:paraId="40EB6223" w14:textId="3E455B7A" w:rsidR="005A09F0" w:rsidRDefault="007650AE" w:rsidP="005A09F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F</w:t>
      </w:r>
      <w:r>
        <w:rPr>
          <w:rFonts w:ascii="Times New Roman" w:eastAsia="宋体" w:hAnsi="Times New Roman" w:cs="Times New Roman"/>
          <w:kern w:val="0"/>
          <w:sz w:val="20"/>
          <w:szCs w:val="20"/>
        </w:rPr>
        <w:t xml:space="preserve">or Option 3, </w:t>
      </w:r>
      <w:r w:rsidR="002750D3">
        <w:rPr>
          <w:rFonts w:ascii="Times New Roman" w:eastAsia="宋体" w:hAnsi="Times New Roman" w:cs="Times New Roman"/>
          <w:kern w:val="0"/>
          <w:sz w:val="20"/>
          <w:szCs w:val="20"/>
        </w:rPr>
        <w:t xml:space="preserve">legacy CHO </w:t>
      </w:r>
      <w:r w:rsidR="005A09F0">
        <w:rPr>
          <w:rFonts w:ascii="Times New Roman" w:eastAsia="宋体" w:hAnsi="Times New Roman" w:cs="Times New Roman"/>
          <w:kern w:val="0"/>
          <w:sz w:val="20"/>
          <w:szCs w:val="20"/>
        </w:rPr>
        <w:t xml:space="preserve">configuration can be fully reused for UEs, and source IAB-DU can power down </w:t>
      </w:r>
      <w:r w:rsidR="00F02242">
        <w:rPr>
          <w:rFonts w:ascii="Times New Roman" w:eastAsia="宋体" w:hAnsi="Times New Roman" w:cs="Times New Roman"/>
          <w:kern w:val="0"/>
          <w:sz w:val="20"/>
          <w:szCs w:val="20"/>
        </w:rPr>
        <w:t xml:space="preserve">the cells </w:t>
      </w:r>
      <w:r w:rsidR="005A09F0">
        <w:rPr>
          <w:rFonts w:ascii="Times New Roman" w:eastAsia="宋体" w:hAnsi="Times New Roman" w:cs="Times New Roman"/>
          <w:kern w:val="0"/>
          <w:sz w:val="20"/>
          <w:szCs w:val="20"/>
        </w:rPr>
        <w:t xml:space="preserve">by implementation to trigger the served UEs perform CHO to target IAB-DU, which has fewest standards impacts among 3 options. While for power up </w:t>
      </w:r>
      <w:r w:rsidR="00F02242">
        <w:rPr>
          <w:rFonts w:ascii="Times New Roman" w:eastAsia="宋体" w:hAnsi="Times New Roman" w:cs="Times New Roman"/>
          <w:kern w:val="0"/>
          <w:sz w:val="20"/>
          <w:szCs w:val="20"/>
        </w:rPr>
        <w:t xml:space="preserve">the cells </w:t>
      </w:r>
      <w:r w:rsidR="005A09F0">
        <w:rPr>
          <w:rFonts w:ascii="Times New Roman" w:eastAsia="宋体" w:hAnsi="Times New Roman" w:cs="Times New Roman"/>
          <w:kern w:val="0"/>
          <w:sz w:val="20"/>
          <w:szCs w:val="20"/>
        </w:rPr>
        <w:t>of target IAB-DU</w:t>
      </w:r>
      <w:r w:rsidR="00911342">
        <w:rPr>
          <w:rFonts w:ascii="Times New Roman" w:eastAsia="宋体" w:hAnsi="Times New Roman" w:cs="Times New Roman"/>
          <w:kern w:val="0"/>
          <w:sz w:val="20"/>
          <w:szCs w:val="20"/>
        </w:rPr>
        <w:t xml:space="preserve">, it’s not recommended </w:t>
      </w:r>
      <w:r w:rsidR="00BD1442">
        <w:rPr>
          <w:rFonts w:ascii="Times New Roman" w:eastAsia="宋体" w:hAnsi="Times New Roman" w:cs="Times New Roman"/>
          <w:kern w:val="0"/>
          <w:sz w:val="20"/>
          <w:szCs w:val="20"/>
        </w:rPr>
        <w:t>that it</w:t>
      </w:r>
      <w:r w:rsidR="00911342">
        <w:rPr>
          <w:rFonts w:ascii="Times New Roman" w:eastAsia="宋体" w:hAnsi="Times New Roman" w:cs="Times New Roman"/>
          <w:kern w:val="0"/>
          <w:sz w:val="20"/>
          <w:szCs w:val="20"/>
        </w:rPr>
        <w:t xml:space="preserve"> cause</w:t>
      </w:r>
      <w:r w:rsidR="00BD1442">
        <w:rPr>
          <w:rFonts w:ascii="Times New Roman" w:eastAsia="宋体" w:hAnsi="Times New Roman" w:cs="Times New Roman"/>
          <w:kern w:val="0"/>
          <w:sz w:val="20"/>
          <w:szCs w:val="20"/>
        </w:rPr>
        <w:t>s</w:t>
      </w:r>
      <w:r w:rsidR="00911342">
        <w:rPr>
          <w:rFonts w:ascii="Times New Roman" w:eastAsia="宋体" w:hAnsi="Times New Roman" w:cs="Times New Roman"/>
          <w:kern w:val="0"/>
          <w:sz w:val="20"/>
          <w:szCs w:val="20"/>
        </w:rPr>
        <w:t xml:space="preserve"> additional unnecessary HO/CHO on other UEs.</w:t>
      </w:r>
    </w:p>
    <w:p w14:paraId="33296235" w14:textId="4B48BF8D" w:rsidR="00D24D72" w:rsidRPr="003B0384" w:rsidRDefault="003B0384" w:rsidP="00D02D3B">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3B0384">
        <w:rPr>
          <w:rFonts w:ascii="Times New Roman" w:eastAsia="宋体" w:hAnsi="Times New Roman" w:cs="Times New Roman" w:hint="eastAsia"/>
          <w:b/>
          <w:bCs/>
          <w:kern w:val="0"/>
          <w:sz w:val="20"/>
          <w:szCs w:val="20"/>
        </w:rPr>
        <w:t>P</w:t>
      </w:r>
      <w:r w:rsidRPr="003B0384">
        <w:rPr>
          <w:rFonts w:ascii="Times New Roman" w:eastAsia="宋体" w:hAnsi="Times New Roman" w:cs="Times New Roman"/>
          <w:b/>
          <w:bCs/>
          <w:kern w:val="0"/>
          <w:sz w:val="20"/>
          <w:szCs w:val="20"/>
        </w:rPr>
        <w:t xml:space="preserve">roposal 1: </w:t>
      </w:r>
      <w:r w:rsidR="00FB7488">
        <w:rPr>
          <w:rFonts w:ascii="Times New Roman" w:eastAsia="宋体" w:hAnsi="Times New Roman" w:cs="Times New Roman"/>
          <w:b/>
          <w:bCs/>
          <w:kern w:val="0"/>
          <w:sz w:val="20"/>
          <w:szCs w:val="20"/>
        </w:rPr>
        <w:t xml:space="preserve">Legacy CHO procedure can be reused by the served UEs of mobile IAB-node, and source IAB-DU </w:t>
      </w:r>
      <w:r w:rsidR="00552A2B">
        <w:rPr>
          <w:rFonts w:ascii="Times New Roman" w:eastAsia="宋体" w:hAnsi="Times New Roman" w:cs="Times New Roman"/>
          <w:b/>
          <w:bCs/>
          <w:kern w:val="0"/>
          <w:sz w:val="20"/>
          <w:szCs w:val="20"/>
        </w:rPr>
        <w:t>powers down the cells by implementation to trigger the CHO</w:t>
      </w:r>
      <w:r w:rsidR="00FB7488">
        <w:rPr>
          <w:rFonts w:ascii="Times New Roman" w:eastAsia="宋体" w:hAnsi="Times New Roman" w:cs="Times New Roman"/>
          <w:b/>
          <w:bCs/>
          <w:kern w:val="0"/>
          <w:sz w:val="20"/>
          <w:szCs w:val="20"/>
        </w:rPr>
        <w:t>.</w:t>
      </w:r>
    </w:p>
    <w:p w14:paraId="5E6A1D75" w14:textId="5BB23EA6" w:rsidR="00D24D72" w:rsidRPr="00E05A10" w:rsidRDefault="00E05A10" w:rsidP="00E05A10">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sidRPr="00E05A10">
        <w:rPr>
          <w:rFonts w:ascii="Times New Roman" w:eastAsia="宋体" w:hAnsi="Times New Roman" w:cs="Times New Roman" w:hint="eastAsia"/>
          <w:b/>
          <w:bCs/>
          <w:kern w:val="0"/>
          <w:sz w:val="22"/>
          <w:u w:val="single"/>
        </w:rPr>
        <w:t>R</w:t>
      </w:r>
      <w:r w:rsidRPr="00E05A10">
        <w:rPr>
          <w:rFonts w:ascii="Times New Roman" w:eastAsia="宋体" w:hAnsi="Times New Roman" w:cs="Times New Roman"/>
          <w:b/>
          <w:bCs/>
          <w:kern w:val="0"/>
          <w:sz w:val="22"/>
          <w:u w:val="single"/>
        </w:rPr>
        <w:t>ACH-less HO for served UEs</w:t>
      </w:r>
    </w:p>
    <w:tbl>
      <w:tblPr>
        <w:tblW w:w="9650"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50"/>
      </w:tblGrid>
      <w:tr w:rsidR="000001DA" w14:paraId="18305D97" w14:textId="77777777" w:rsidTr="00381282">
        <w:trPr>
          <w:trHeight w:val="3472"/>
        </w:trPr>
        <w:tc>
          <w:tcPr>
            <w:tcW w:w="9650" w:type="dxa"/>
          </w:tcPr>
          <w:p w14:paraId="79AFCAC3" w14:textId="02A75E17" w:rsidR="000001DA" w:rsidRPr="00657ABB" w:rsidRDefault="0012010C" w:rsidP="00343921">
            <w:pPr>
              <w:widowControl/>
              <w:spacing w:after="180"/>
              <w:jc w:val="left"/>
              <w:rPr>
                <w:rFonts w:ascii="Times New Roman" w:eastAsia="宋体" w:hAnsi="Times New Roman" w:cs="Times New Roman"/>
                <w:kern w:val="0"/>
                <w:sz w:val="20"/>
                <w:szCs w:val="20"/>
              </w:rPr>
            </w:pPr>
            <w:r w:rsidRPr="003E0973">
              <w:rPr>
                <w:rFonts w:ascii="Times New Roman" w:hAnsi="Times New Roman" w:cs="Times New Roman"/>
                <w:b/>
                <w:bCs/>
              </w:rPr>
              <w:t>Agreements</w:t>
            </w:r>
            <w:r>
              <w:rPr>
                <w:rFonts w:ascii="Times New Roman" w:hAnsi="Times New Roman" w:cs="Times New Roman"/>
                <w:b/>
                <w:bCs/>
              </w:rPr>
              <w:t xml:space="preserve"> from </w:t>
            </w:r>
            <w:r w:rsidR="000001DA">
              <w:rPr>
                <w:rFonts w:ascii="Times New Roman" w:eastAsia="宋体" w:hAnsi="Times New Roman" w:cs="Times New Roman"/>
                <w:b/>
                <w:bCs/>
                <w:kern w:val="0"/>
                <w:sz w:val="20"/>
                <w:szCs w:val="20"/>
              </w:rPr>
              <w:t>RAN2 12</w:t>
            </w:r>
            <w:r w:rsidR="00381282">
              <w:rPr>
                <w:rFonts w:ascii="Times New Roman" w:eastAsia="宋体" w:hAnsi="Times New Roman" w:cs="Times New Roman"/>
                <w:b/>
                <w:bCs/>
                <w:kern w:val="0"/>
                <w:sz w:val="20"/>
                <w:szCs w:val="20"/>
              </w:rPr>
              <w:t>2</w:t>
            </w:r>
            <w:r w:rsidR="000001DA">
              <w:rPr>
                <w:rFonts w:ascii="Times New Roman" w:eastAsia="宋体" w:hAnsi="Times New Roman" w:cs="Times New Roman"/>
                <w:b/>
                <w:bCs/>
                <w:kern w:val="0"/>
                <w:sz w:val="20"/>
                <w:szCs w:val="20"/>
              </w:rPr>
              <w:t>:</w:t>
            </w:r>
          </w:p>
          <w:p w14:paraId="5145133D" w14:textId="77777777" w:rsidR="00381282" w:rsidRDefault="00381282" w:rsidP="00381282">
            <w:pPr>
              <w:pStyle w:val="Agreement"/>
              <w:tabs>
                <w:tab w:val="clear" w:pos="-896"/>
                <w:tab w:val="num" w:pos="1619"/>
              </w:tabs>
              <w:ind w:left="1619"/>
            </w:pPr>
            <w:r>
              <w:t>RAN2 think that to have a fast handover from UE point of view for legacy UEs it is important that the target cell is known to the UE (detected and measured).</w:t>
            </w:r>
          </w:p>
          <w:p w14:paraId="61FFEB24" w14:textId="77777777" w:rsidR="00381282" w:rsidRDefault="00381282" w:rsidP="00381282">
            <w:pPr>
              <w:pStyle w:val="Agreement"/>
              <w:tabs>
                <w:tab w:val="clear" w:pos="-896"/>
                <w:tab w:val="num" w:pos="1619"/>
              </w:tabs>
              <w:ind w:left="1619"/>
            </w:pPr>
            <w:r>
              <w:t>For RACH-less, if supported, there would need to be a beam indication (in RRC HO command), which seems feasible in this release from R2 perspective. R2 assumes that the network can know/select the beam, either from network impl specific knowledge or from UE measurement report (legacy report).</w:t>
            </w:r>
          </w:p>
          <w:p w14:paraId="31ECB811" w14:textId="77777777" w:rsidR="00381282" w:rsidRPr="00521742" w:rsidRDefault="00381282" w:rsidP="00381282">
            <w:pPr>
              <w:pStyle w:val="Agreement"/>
              <w:tabs>
                <w:tab w:val="clear" w:pos="-896"/>
                <w:tab w:val="num" w:pos="1619"/>
              </w:tabs>
              <w:ind w:left="1619"/>
              <w:rPr>
                <w:lang w:eastAsia="en-US"/>
              </w:rPr>
            </w:pPr>
            <w:r w:rsidRPr="00521742">
              <w:rPr>
                <w:lang w:eastAsia="en-US"/>
              </w:rPr>
              <w:t>for the UL grant and HO completion</w:t>
            </w:r>
            <w:r>
              <w:rPr>
                <w:lang w:eastAsia="en-US"/>
              </w:rPr>
              <w:t xml:space="preserve"> in RACH-less HO</w:t>
            </w:r>
            <w:r w:rsidRPr="00521742">
              <w:rPr>
                <w:lang w:eastAsia="en-US"/>
              </w:rPr>
              <w:t>:</w:t>
            </w:r>
          </w:p>
          <w:p w14:paraId="615E44E8" w14:textId="77777777" w:rsidR="00381282" w:rsidRPr="00521742" w:rsidRDefault="00381282" w:rsidP="00381282">
            <w:pPr>
              <w:pStyle w:val="Agreement"/>
              <w:numPr>
                <w:ilvl w:val="0"/>
                <w:numId w:val="0"/>
              </w:numPr>
              <w:ind w:left="1619"/>
              <w:rPr>
                <w:lang w:eastAsia="en-US"/>
              </w:rPr>
            </w:pPr>
            <w:r w:rsidRPr="00521742">
              <w:rPr>
                <w:lang w:eastAsia="en-US"/>
              </w:rPr>
              <w:t>1. Both type-1 configured grant and dynamic grant are supported</w:t>
            </w:r>
          </w:p>
          <w:p w14:paraId="78866539" w14:textId="77777777" w:rsidR="00381282" w:rsidRPr="00C7287F" w:rsidRDefault="00381282" w:rsidP="00381282">
            <w:pPr>
              <w:pStyle w:val="Agreement"/>
              <w:numPr>
                <w:ilvl w:val="0"/>
                <w:numId w:val="0"/>
              </w:numPr>
              <w:ind w:left="1619"/>
            </w:pPr>
            <w:r w:rsidRPr="00521742">
              <w:rPr>
                <w:rFonts w:eastAsia="Times New Roman"/>
                <w:szCs w:val="20"/>
                <w:lang w:eastAsia="en-US"/>
              </w:rPr>
              <w:t xml:space="preserve">2. </w:t>
            </w:r>
            <w:r>
              <w:rPr>
                <w:rFonts w:eastAsia="Times New Roman"/>
                <w:szCs w:val="20"/>
                <w:lang w:eastAsia="en-US"/>
              </w:rPr>
              <w:t>FFS handling of supervision timer and when</w:t>
            </w:r>
            <w:r w:rsidRPr="00521742">
              <w:rPr>
                <w:rFonts w:eastAsia="Times New Roman"/>
                <w:szCs w:val="20"/>
                <w:lang w:eastAsia="en-US"/>
              </w:rPr>
              <w:t xml:space="preserve"> HO is </w:t>
            </w:r>
            <w:r>
              <w:rPr>
                <w:rFonts w:eastAsia="Times New Roman"/>
                <w:szCs w:val="20"/>
                <w:lang w:eastAsia="en-US"/>
              </w:rPr>
              <w:t xml:space="preserve">considered successfully </w:t>
            </w:r>
            <w:r w:rsidRPr="00521742">
              <w:rPr>
                <w:rFonts w:eastAsia="Times New Roman"/>
                <w:szCs w:val="20"/>
                <w:lang w:eastAsia="en-US"/>
              </w:rPr>
              <w:t>complete</w:t>
            </w:r>
            <w:r>
              <w:rPr>
                <w:rFonts w:eastAsia="Times New Roman"/>
                <w:szCs w:val="20"/>
                <w:lang w:eastAsia="en-US"/>
              </w:rPr>
              <w:t xml:space="preserve"> (expect to align with other WI). </w:t>
            </w:r>
          </w:p>
          <w:p w14:paraId="7084229A" w14:textId="6C92148C" w:rsidR="000001DA" w:rsidRPr="00657ABB" w:rsidRDefault="00381282" w:rsidP="00381282">
            <w:pPr>
              <w:pStyle w:val="Agreement"/>
              <w:tabs>
                <w:tab w:val="num" w:pos="1619"/>
              </w:tabs>
              <w:ind w:left="1619"/>
            </w:pPr>
            <w:r>
              <w:t>Send LS to RAN3 to check whether there are issues / feasibility concerns</w:t>
            </w:r>
          </w:p>
        </w:tc>
      </w:tr>
    </w:tbl>
    <w:p w14:paraId="1A9375DD" w14:textId="26B41848" w:rsidR="00E07099" w:rsidRDefault="00AA1479" w:rsidP="00D02D3B">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sidRPr="00AA1479">
        <w:rPr>
          <w:rFonts w:ascii="Times New Roman" w:eastAsia="宋体" w:hAnsi="Times New Roman" w:cs="Times New Roman"/>
          <w:kern w:val="0"/>
          <w:sz w:val="20"/>
          <w:szCs w:val="20"/>
        </w:rPr>
        <w:t>As for the served UEs of mobile IAB-node, since source logical IAB-DU and target logical IAB-DU are co-located physically and the serving mobile IAB-node doesn’t change for UE during the whole IAB-DU migration procedure,</w:t>
      </w:r>
      <w:r>
        <w:rPr>
          <w:rFonts w:ascii="Times New Roman" w:eastAsia="宋体" w:hAnsi="Times New Roman" w:cs="Times New Roman"/>
          <w:kern w:val="0"/>
          <w:sz w:val="20"/>
          <w:szCs w:val="20"/>
        </w:rPr>
        <w:t xml:space="preserve"> at least the </w:t>
      </w:r>
      <w:r w:rsidR="000E1F7B">
        <w:rPr>
          <w:rFonts w:ascii="Times New Roman" w:eastAsia="宋体" w:hAnsi="Times New Roman" w:cs="Times New Roman"/>
          <w:kern w:val="0"/>
          <w:sz w:val="20"/>
          <w:szCs w:val="20"/>
        </w:rPr>
        <w:t xml:space="preserve">same TA </w:t>
      </w:r>
      <w:r w:rsidR="00B608CE">
        <w:rPr>
          <w:rFonts w:ascii="Times New Roman" w:eastAsia="宋体" w:hAnsi="Times New Roman" w:cs="Times New Roman"/>
          <w:kern w:val="0"/>
          <w:sz w:val="20"/>
          <w:szCs w:val="20"/>
        </w:rPr>
        <w:t xml:space="preserve">is applied before and after mobile IAB-MT handover. </w:t>
      </w:r>
      <w:r w:rsidR="00B019CD">
        <w:rPr>
          <w:rFonts w:ascii="Times New Roman" w:eastAsia="宋体" w:hAnsi="Times New Roman" w:cs="Times New Roman"/>
          <w:kern w:val="0"/>
          <w:sz w:val="20"/>
          <w:szCs w:val="20"/>
        </w:rPr>
        <w:t xml:space="preserve">And in general, RACH-less HO can be considered for UEs of mobile IAB and </w:t>
      </w:r>
      <w:r w:rsidR="00B019CD" w:rsidRPr="00B019CD">
        <w:rPr>
          <w:rFonts w:ascii="Times New Roman" w:eastAsia="宋体" w:hAnsi="Times New Roman" w:cs="Times New Roman"/>
          <w:kern w:val="0"/>
          <w:sz w:val="20"/>
          <w:szCs w:val="20"/>
        </w:rPr>
        <w:t xml:space="preserve">LTE RACH-less </w:t>
      </w:r>
      <w:r w:rsidR="00B019CD">
        <w:rPr>
          <w:rFonts w:ascii="Times New Roman" w:eastAsia="宋体" w:hAnsi="Times New Roman" w:cs="Times New Roman"/>
          <w:kern w:val="0"/>
          <w:sz w:val="20"/>
          <w:szCs w:val="20"/>
        </w:rPr>
        <w:t>HO</w:t>
      </w:r>
      <w:r w:rsidR="00B019CD" w:rsidRPr="00B019CD">
        <w:rPr>
          <w:rFonts w:ascii="Times New Roman" w:eastAsia="宋体" w:hAnsi="Times New Roman" w:cs="Times New Roman"/>
          <w:kern w:val="0"/>
          <w:sz w:val="20"/>
          <w:szCs w:val="20"/>
        </w:rPr>
        <w:t xml:space="preserve"> procedure</w:t>
      </w:r>
      <w:r w:rsidR="003E4C51">
        <w:rPr>
          <w:rFonts w:ascii="Times New Roman" w:eastAsia="宋体" w:hAnsi="Times New Roman" w:cs="Times New Roman"/>
          <w:kern w:val="0"/>
          <w:sz w:val="20"/>
          <w:szCs w:val="20"/>
        </w:rPr>
        <w:t xml:space="preserve"> can be regarded as a start point.</w:t>
      </w:r>
      <w:r w:rsidR="007655C6">
        <w:rPr>
          <w:rFonts w:ascii="Times New Roman" w:eastAsia="宋体" w:hAnsi="Times New Roman" w:cs="Times New Roman"/>
          <w:kern w:val="0"/>
          <w:sz w:val="20"/>
          <w:szCs w:val="20"/>
        </w:rPr>
        <w:t xml:space="preserve"> Based on the agreement from last meeting, </w:t>
      </w:r>
      <w:r w:rsidR="005866B1">
        <w:rPr>
          <w:rFonts w:ascii="Times New Roman" w:eastAsia="宋体" w:hAnsi="Times New Roman" w:cs="Times New Roman"/>
          <w:kern w:val="0"/>
          <w:sz w:val="20"/>
          <w:szCs w:val="20"/>
        </w:rPr>
        <w:t>a fast handover for the served UEs of mobile IAB-node can be considered.</w:t>
      </w:r>
    </w:p>
    <w:p w14:paraId="661449DC" w14:textId="6C8AE364" w:rsidR="005866B1" w:rsidRPr="005866B1" w:rsidRDefault="005866B1" w:rsidP="00D02D3B">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5866B1">
        <w:rPr>
          <w:rFonts w:ascii="Times New Roman" w:eastAsia="宋体" w:hAnsi="Times New Roman" w:cs="Times New Roman"/>
          <w:b/>
          <w:bCs/>
          <w:kern w:val="0"/>
          <w:sz w:val="20"/>
          <w:szCs w:val="20"/>
        </w:rPr>
        <w:t>Proposal 2: Support RACH-less HO for the served UEs during mIAB-DU migration.</w:t>
      </w:r>
    </w:p>
    <w:p w14:paraId="3934D2BA" w14:textId="74645DBA" w:rsidR="005866B1" w:rsidRDefault="002B5AC4" w:rsidP="00D02D3B">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w:t>
      </w:r>
      <w:r>
        <w:rPr>
          <w:rFonts w:ascii="Times New Roman" w:eastAsia="宋体" w:hAnsi="Times New Roman" w:cs="Times New Roman"/>
          <w:kern w:val="0"/>
          <w:sz w:val="20"/>
          <w:szCs w:val="20"/>
        </w:rPr>
        <w:t xml:space="preserve">ince the RACH-less handover is discussed in other WID (NTN) parallelly and </w:t>
      </w:r>
      <w:r w:rsidR="00BA0A92">
        <w:rPr>
          <w:rFonts w:ascii="Times New Roman" w:eastAsia="宋体" w:hAnsi="Times New Roman" w:cs="Times New Roman"/>
          <w:kern w:val="0"/>
          <w:sz w:val="20"/>
          <w:szCs w:val="20"/>
        </w:rPr>
        <w:t xml:space="preserve">NTN makes faster progress than mIAB, </w:t>
      </w:r>
      <w:r w:rsidR="00583FC8">
        <w:rPr>
          <w:rFonts w:ascii="Times New Roman" w:eastAsia="宋体" w:hAnsi="Times New Roman" w:cs="Times New Roman"/>
          <w:kern w:val="0"/>
          <w:sz w:val="20"/>
          <w:szCs w:val="20"/>
        </w:rPr>
        <w:t xml:space="preserve">then the agreements </w:t>
      </w:r>
      <w:r w:rsidR="00221F14">
        <w:rPr>
          <w:rFonts w:ascii="Times New Roman" w:eastAsia="宋体" w:hAnsi="Times New Roman" w:cs="Times New Roman"/>
          <w:kern w:val="0"/>
          <w:sz w:val="20"/>
          <w:szCs w:val="20"/>
        </w:rPr>
        <w:t>made by NTN</w:t>
      </w:r>
      <w:r w:rsidR="00BC540C">
        <w:rPr>
          <w:rFonts w:ascii="Times New Roman" w:eastAsia="宋体" w:hAnsi="Times New Roman" w:cs="Times New Roman"/>
          <w:kern w:val="0"/>
          <w:sz w:val="20"/>
          <w:szCs w:val="20"/>
        </w:rPr>
        <w:t xml:space="preserve"> as below</w:t>
      </w:r>
      <w:r w:rsidR="00221F14">
        <w:rPr>
          <w:rFonts w:ascii="Times New Roman" w:eastAsia="宋体" w:hAnsi="Times New Roman" w:cs="Times New Roman"/>
          <w:kern w:val="0"/>
          <w:sz w:val="20"/>
          <w:szCs w:val="20"/>
        </w:rPr>
        <w:t xml:space="preserve"> can be </w:t>
      </w:r>
      <w:r w:rsidR="002A3191">
        <w:rPr>
          <w:rFonts w:ascii="Times New Roman" w:eastAsia="宋体" w:hAnsi="Times New Roman" w:cs="Times New Roman"/>
          <w:kern w:val="0"/>
          <w:sz w:val="20"/>
          <w:szCs w:val="20"/>
        </w:rPr>
        <w:t xml:space="preserve">partial </w:t>
      </w:r>
      <w:r w:rsidR="00221F14">
        <w:rPr>
          <w:rFonts w:ascii="Times New Roman" w:eastAsia="宋体" w:hAnsi="Times New Roman" w:cs="Times New Roman"/>
          <w:kern w:val="0"/>
          <w:sz w:val="20"/>
          <w:szCs w:val="20"/>
        </w:rPr>
        <w:t>reused.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5"/>
      </w:tblGrid>
      <w:tr w:rsidR="003E0973" w14:paraId="75C91276" w14:textId="77777777" w:rsidTr="002F4B4D">
        <w:trPr>
          <w:trHeight w:val="2117"/>
        </w:trPr>
        <w:tc>
          <w:tcPr>
            <w:tcW w:w="9385" w:type="dxa"/>
            <w:tcBorders>
              <w:top w:val="single" w:sz="4" w:space="0" w:color="auto"/>
              <w:left w:val="single" w:sz="4" w:space="0" w:color="auto"/>
              <w:bottom w:val="single" w:sz="4" w:space="0" w:color="auto"/>
              <w:right w:val="single" w:sz="4" w:space="0" w:color="auto"/>
            </w:tcBorders>
          </w:tcPr>
          <w:p w14:paraId="0A8CE30C" w14:textId="5B40ED7B" w:rsidR="003E0973" w:rsidRPr="003E0973" w:rsidRDefault="003E0973">
            <w:pPr>
              <w:rPr>
                <w:rFonts w:ascii="Times New Roman" w:hAnsi="Times New Roman" w:cs="Times New Roman"/>
                <w:b/>
                <w:bCs/>
              </w:rPr>
            </w:pPr>
            <w:bookmarkStart w:id="2" w:name="OLE_LINK1"/>
            <w:r w:rsidRPr="003E0973">
              <w:rPr>
                <w:rFonts w:ascii="Times New Roman" w:hAnsi="Times New Roman" w:cs="Times New Roman"/>
                <w:b/>
                <w:bCs/>
              </w:rPr>
              <w:t>Agreements</w:t>
            </w:r>
            <w:r>
              <w:rPr>
                <w:rFonts w:ascii="Times New Roman" w:hAnsi="Times New Roman" w:cs="Times New Roman"/>
                <w:b/>
                <w:bCs/>
              </w:rPr>
              <w:t xml:space="preserve"> from RAN</w:t>
            </w:r>
            <w:r w:rsidR="0012010C">
              <w:rPr>
                <w:rFonts w:ascii="Times New Roman" w:hAnsi="Times New Roman" w:cs="Times New Roman"/>
                <w:b/>
                <w:bCs/>
              </w:rPr>
              <w:t>2</w:t>
            </w:r>
            <w:r>
              <w:rPr>
                <w:rFonts w:ascii="Times New Roman" w:hAnsi="Times New Roman" w:cs="Times New Roman"/>
                <w:b/>
                <w:bCs/>
              </w:rPr>
              <w:t xml:space="preserve"> </w:t>
            </w:r>
            <w:bookmarkEnd w:id="2"/>
            <w:r>
              <w:rPr>
                <w:rFonts w:ascii="Times New Roman" w:hAnsi="Times New Roman" w:cs="Times New Roman"/>
                <w:b/>
                <w:bCs/>
              </w:rPr>
              <w:t>121bis-e</w:t>
            </w:r>
            <w:r w:rsidRPr="003E0973">
              <w:rPr>
                <w:rFonts w:ascii="Times New Roman" w:hAnsi="Times New Roman" w:cs="Times New Roman"/>
                <w:b/>
                <w:bCs/>
              </w:rPr>
              <w:t>:</w:t>
            </w:r>
          </w:p>
          <w:p w14:paraId="59EF0093" w14:textId="77777777" w:rsidR="003E0973" w:rsidRPr="003E0973" w:rsidRDefault="003E0973" w:rsidP="003E0973">
            <w:pPr>
              <w:widowControl/>
              <w:numPr>
                <w:ilvl w:val="0"/>
                <w:numId w:val="25"/>
              </w:numPr>
              <w:jc w:val="left"/>
              <w:rPr>
                <w:rFonts w:ascii="Times New Roman" w:hAnsi="Times New Roman" w:cs="Times New Roman"/>
                <w:bCs/>
              </w:rPr>
            </w:pPr>
            <w:r w:rsidRPr="003E0973">
              <w:rPr>
                <w:rFonts w:ascii="Times New Roman" w:hAnsi="Times New Roman" w:cs="Times New Roman"/>
                <w:bCs/>
              </w:rPr>
              <w:t xml:space="preserve">RAN2 confirms the general UE procedure for NTN RACH-less HO </w:t>
            </w:r>
          </w:p>
          <w:p w14:paraId="40F5F09A" w14:textId="77777777" w:rsidR="003E0973" w:rsidRPr="003E0973" w:rsidRDefault="003E0973" w:rsidP="003E0973">
            <w:pPr>
              <w:pStyle w:val="ac"/>
              <w:widowControl/>
              <w:numPr>
                <w:ilvl w:val="0"/>
                <w:numId w:val="26"/>
              </w:numPr>
              <w:ind w:firstLineChars="0"/>
              <w:contextualSpacing/>
              <w:jc w:val="left"/>
              <w:rPr>
                <w:rFonts w:ascii="Times New Roman" w:hAnsi="Times New Roman" w:cs="Times New Roman"/>
                <w:bCs/>
              </w:rPr>
            </w:pPr>
            <w:r w:rsidRPr="00842553">
              <w:rPr>
                <w:rFonts w:ascii="Times New Roman" w:hAnsi="Times New Roman" w:cs="Times New Roman"/>
                <w:bCs/>
                <w:highlight w:val="yellow"/>
              </w:rPr>
              <w:t>receive a RACH-less HO command which can include pre-allocated grant optionally.</w:t>
            </w:r>
            <w:r w:rsidRPr="003E0973">
              <w:rPr>
                <w:rFonts w:ascii="Times New Roman" w:hAnsi="Times New Roman" w:cs="Times New Roman"/>
                <w:bCs/>
              </w:rPr>
              <w:t xml:space="preserve"> FFS N_TA is optional. (RRC)</w:t>
            </w:r>
          </w:p>
          <w:p w14:paraId="361C1EAF" w14:textId="77777777" w:rsidR="003E0973" w:rsidRPr="00842553" w:rsidRDefault="003E0973" w:rsidP="003E0973">
            <w:pPr>
              <w:pStyle w:val="ac"/>
              <w:widowControl/>
              <w:numPr>
                <w:ilvl w:val="0"/>
                <w:numId w:val="26"/>
              </w:numPr>
              <w:ind w:firstLineChars="0"/>
              <w:contextualSpacing/>
              <w:jc w:val="left"/>
              <w:rPr>
                <w:rFonts w:ascii="Times New Roman" w:hAnsi="Times New Roman" w:cs="Times New Roman"/>
                <w:bCs/>
                <w:highlight w:val="yellow"/>
              </w:rPr>
            </w:pPr>
            <w:r w:rsidRPr="00842553">
              <w:rPr>
                <w:rFonts w:ascii="Times New Roman" w:hAnsi="Times New Roman" w:cs="Times New Roman"/>
                <w:bCs/>
                <w:highlight w:val="yellow"/>
              </w:rPr>
              <w:t>start timer T304 for the target cell (RRC)</w:t>
            </w:r>
          </w:p>
          <w:p w14:paraId="6FD1F823" w14:textId="77777777" w:rsidR="003E0973" w:rsidRPr="003E0973" w:rsidRDefault="003E0973" w:rsidP="003E0973">
            <w:pPr>
              <w:pStyle w:val="ac"/>
              <w:widowControl/>
              <w:numPr>
                <w:ilvl w:val="0"/>
                <w:numId w:val="26"/>
              </w:numPr>
              <w:ind w:firstLineChars="0"/>
              <w:contextualSpacing/>
              <w:jc w:val="left"/>
              <w:rPr>
                <w:rFonts w:ascii="Times New Roman" w:hAnsi="Times New Roman" w:cs="Times New Roman"/>
                <w:bCs/>
              </w:rPr>
            </w:pPr>
            <w:r w:rsidRPr="00842553">
              <w:rPr>
                <w:rFonts w:ascii="Times New Roman" w:hAnsi="Times New Roman" w:cs="Times New Roman"/>
                <w:bCs/>
                <w:highlight w:val="yellow"/>
              </w:rPr>
              <w:t>perform DL and UL synchronization, and start timer T430.</w:t>
            </w:r>
            <w:r w:rsidRPr="003E0973">
              <w:rPr>
                <w:rFonts w:ascii="Times New Roman" w:hAnsi="Times New Roman" w:cs="Times New Roman"/>
                <w:bCs/>
              </w:rPr>
              <w:t xml:space="preserve"> FFS how to perform RACH-less UL synchronization to NTN target cell. (RRC, MAC)</w:t>
            </w:r>
          </w:p>
          <w:p w14:paraId="65294B60" w14:textId="77777777" w:rsidR="003E0973" w:rsidRPr="00842553" w:rsidRDefault="003E0973" w:rsidP="003E0973">
            <w:pPr>
              <w:pStyle w:val="ac"/>
              <w:widowControl/>
              <w:numPr>
                <w:ilvl w:val="0"/>
                <w:numId w:val="26"/>
              </w:numPr>
              <w:ind w:firstLineChars="0"/>
              <w:contextualSpacing/>
              <w:jc w:val="left"/>
              <w:rPr>
                <w:rFonts w:ascii="Times New Roman" w:hAnsi="Times New Roman" w:cs="Times New Roman"/>
                <w:bCs/>
                <w:highlight w:val="yellow"/>
              </w:rPr>
            </w:pPr>
            <w:r w:rsidRPr="00842553">
              <w:rPr>
                <w:rFonts w:ascii="Times New Roman" w:hAnsi="Times New Roman" w:cs="Times New Roman"/>
                <w:bCs/>
                <w:highlight w:val="yellow"/>
              </w:rPr>
              <w:t>start time alignment timer (MAC)</w:t>
            </w:r>
          </w:p>
          <w:p w14:paraId="7C3D9B08" w14:textId="77777777" w:rsidR="003E0973" w:rsidRPr="00842553" w:rsidRDefault="003E0973" w:rsidP="003E0973">
            <w:pPr>
              <w:pStyle w:val="ac"/>
              <w:widowControl/>
              <w:numPr>
                <w:ilvl w:val="0"/>
                <w:numId w:val="26"/>
              </w:numPr>
              <w:ind w:firstLineChars="0"/>
              <w:contextualSpacing/>
              <w:jc w:val="left"/>
              <w:rPr>
                <w:rFonts w:ascii="Times New Roman" w:hAnsi="Times New Roman" w:cs="Times New Roman"/>
                <w:bCs/>
                <w:highlight w:val="yellow"/>
              </w:rPr>
            </w:pPr>
            <w:r w:rsidRPr="00842553">
              <w:rPr>
                <w:rFonts w:ascii="Times New Roman" w:hAnsi="Times New Roman" w:cs="Times New Roman"/>
                <w:bCs/>
                <w:highlight w:val="yellow"/>
              </w:rPr>
              <w:t>monitor target cell PDCCH for dynamic grant if pre-allocated grant is not configured in RACH-less HO command (MAC, PHY)</w:t>
            </w:r>
          </w:p>
          <w:p w14:paraId="62717718" w14:textId="77777777" w:rsidR="003E0973" w:rsidRPr="00842553" w:rsidRDefault="003E0973" w:rsidP="003E0973">
            <w:pPr>
              <w:pStyle w:val="ac"/>
              <w:widowControl/>
              <w:numPr>
                <w:ilvl w:val="0"/>
                <w:numId w:val="26"/>
              </w:numPr>
              <w:ind w:firstLineChars="0"/>
              <w:contextualSpacing/>
              <w:jc w:val="left"/>
              <w:rPr>
                <w:rFonts w:ascii="Times New Roman" w:hAnsi="Times New Roman" w:cs="Times New Roman"/>
                <w:bCs/>
                <w:highlight w:val="yellow"/>
              </w:rPr>
            </w:pPr>
            <w:r w:rsidRPr="00842553">
              <w:rPr>
                <w:rFonts w:ascii="Times New Roman" w:hAnsi="Times New Roman" w:cs="Times New Roman"/>
                <w:bCs/>
                <w:highlight w:val="yellow"/>
              </w:rPr>
              <w:t>send initial UL transmission including RRCReconfigurationComplete message using the available UL grant (RRC, MAC, PHY)</w:t>
            </w:r>
          </w:p>
          <w:p w14:paraId="35F2B0DB" w14:textId="27E75CCF" w:rsidR="003E0973" w:rsidRPr="003E0973" w:rsidRDefault="003E0973" w:rsidP="003E0973">
            <w:pPr>
              <w:pStyle w:val="ac"/>
              <w:widowControl/>
              <w:numPr>
                <w:ilvl w:val="0"/>
                <w:numId w:val="26"/>
              </w:numPr>
              <w:ind w:firstLineChars="0"/>
              <w:contextualSpacing/>
              <w:jc w:val="left"/>
              <w:rPr>
                <w:rFonts w:ascii="Times New Roman" w:hAnsi="Times New Roman" w:cs="Times New Roman"/>
                <w:bCs/>
              </w:rPr>
            </w:pPr>
            <w:r w:rsidRPr="00842553">
              <w:rPr>
                <w:rFonts w:ascii="Times New Roman" w:hAnsi="Times New Roman" w:cs="Times New Roman"/>
                <w:bCs/>
                <w:highlight w:val="yellow"/>
              </w:rPr>
              <w:t>consider RACH-less HO is completed upon receiving NW confirmation.</w:t>
            </w:r>
            <w:r w:rsidRPr="003E0973">
              <w:rPr>
                <w:rFonts w:ascii="Times New Roman" w:hAnsi="Times New Roman" w:cs="Times New Roman"/>
                <w:bCs/>
              </w:rPr>
              <w:t xml:space="preserve"> FFS how to confirm RACH-less HO is successfully completed. (RRC, MAC)</w:t>
            </w:r>
          </w:p>
          <w:p w14:paraId="3A7792EE" w14:textId="77777777" w:rsidR="003E0973" w:rsidRPr="00842553" w:rsidRDefault="003E0973" w:rsidP="003E0973">
            <w:pPr>
              <w:pStyle w:val="ac"/>
              <w:widowControl/>
              <w:numPr>
                <w:ilvl w:val="0"/>
                <w:numId w:val="26"/>
              </w:numPr>
              <w:ind w:firstLineChars="0"/>
              <w:contextualSpacing/>
              <w:jc w:val="left"/>
              <w:rPr>
                <w:rFonts w:ascii="Times New Roman" w:hAnsi="Times New Roman" w:cs="Times New Roman"/>
                <w:bCs/>
                <w:highlight w:val="yellow"/>
              </w:rPr>
            </w:pPr>
            <w:r w:rsidRPr="00842553">
              <w:rPr>
                <w:rFonts w:ascii="Times New Roman" w:hAnsi="Times New Roman" w:cs="Times New Roman"/>
                <w:bCs/>
                <w:highlight w:val="yellow"/>
              </w:rPr>
              <w:t>stop timer T304 for the target cell. (RRC)</w:t>
            </w:r>
          </w:p>
          <w:p w14:paraId="184C9858" w14:textId="77777777" w:rsidR="003E0973" w:rsidRPr="003E0973" w:rsidRDefault="003E0973">
            <w:pPr>
              <w:ind w:left="420"/>
              <w:rPr>
                <w:rFonts w:ascii="Times New Roman" w:hAnsi="Times New Roman" w:cs="Times New Roman"/>
                <w:bCs/>
              </w:rPr>
            </w:pPr>
            <w:r w:rsidRPr="003E0973">
              <w:rPr>
                <w:rFonts w:ascii="Times New Roman" w:hAnsi="Times New Roman" w:cs="Times New Roman"/>
                <w:bCs/>
              </w:rPr>
              <w:t>FFS whether to release UL grant if pre-allocated after RACH-less HO completion</w:t>
            </w:r>
          </w:p>
          <w:p w14:paraId="4D7D2050" w14:textId="77777777" w:rsidR="003E0973" w:rsidRPr="003E0973" w:rsidRDefault="003E0973">
            <w:pPr>
              <w:ind w:left="420"/>
              <w:rPr>
                <w:rFonts w:ascii="Times New Roman" w:hAnsi="Times New Roman" w:cs="Times New Roman"/>
                <w:bCs/>
              </w:rPr>
            </w:pPr>
            <w:r w:rsidRPr="003E0973">
              <w:rPr>
                <w:rFonts w:ascii="Times New Roman" w:hAnsi="Times New Roman" w:cs="Times New Roman"/>
                <w:bCs/>
              </w:rPr>
              <w:t>FFS RACH-less HO failure handling, e.g. whether UE fallback to RACH-based HO to the target cell</w:t>
            </w:r>
          </w:p>
          <w:p w14:paraId="544D8DAE" w14:textId="258C11C6" w:rsidR="003E0973" w:rsidRDefault="003E0973">
            <w:pPr>
              <w:ind w:left="420"/>
              <w:rPr>
                <w:rFonts w:ascii="Times New Roman" w:hAnsi="Times New Roman" w:cs="Times New Roman"/>
                <w:bCs/>
              </w:rPr>
            </w:pPr>
            <w:r w:rsidRPr="003E0973">
              <w:rPr>
                <w:rFonts w:ascii="Times New Roman" w:hAnsi="Times New Roman" w:cs="Times New Roman"/>
                <w:bCs/>
              </w:rPr>
              <w:t>FFS procedure for RACH-less HO combined with PCI unchanged or CHO if supported</w:t>
            </w:r>
          </w:p>
          <w:p w14:paraId="099290D4" w14:textId="14AB0071" w:rsidR="00846B77" w:rsidRPr="00846B77" w:rsidRDefault="00846B77" w:rsidP="00846B77">
            <w:pPr>
              <w:widowControl/>
              <w:numPr>
                <w:ilvl w:val="0"/>
                <w:numId w:val="25"/>
              </w:numPr>
              <w:jc w:val="left"/>
              <w:rPr>
                <w:rFonts w:ascii="Times New Roman" w:hAnsi="Times New Roman" w:cs="Times New Roman"/>
                <w:bCs/>
                <w:highlight w:val="yellow"/>
              </w:rPr>
            </w:pPr>
            <w:r w:rsidRPr="00846B77">
              <w:rPr>
                <w:rFonts w:ascii="Times New Roman" w:hAnsi="Times New Roman" w:cs="Times New Roman"/>
                <w:bCs/>
                <w:highlight w:val="yellow"/>
              </w:rPr>
              <w:t>The pre-allocated grant is provided as type-1 CG</w:t>
            </w:r>
          </w:p>
          <w:p w14:paraId="3E412646" w14:textId="77777777" w:rsidR="003E0973" w:rsidRPr="003E0973" w:rsidRDefault="003E0973" w:rsidP="003E0973">
            <w:pPr>
              <w:widowControl/>
              <w:numPr>
                <w:ilvl w:val="0"/>
                <w:numId w:val="25"/>
              </w:numPr>
              <w:jc w:val="left"/>
              <w:rPr>
                <w:rFonts w:ascii="Times New Roman" w:hAnsi="Times New Roman" w:cs="Times New Roman"/>
                <w:bCs/>
              </w:rPr>
            </w:pPr>
            <w:r w:rsidRPr="003E0973">
              <w:rPr>
                <w:rFonts w:ascii="Times New Roman" w:hAnsi="Times New Roman" w:cs="Times New Roman"/>
                <w:bCs/>
              </w:rPr>
              <w:t>At least for pre-allocated grant, for the confirmation of RACH-less HO completion we reuse of LTE approach, i.e., UE Contention Resolution Identity MAC CE is used but UE ignores the content of this field. FFS if anything else is needed for dynamic grant.</w:t>
            </w:r>
          </w:p>
          <w:p w14:paraId="02E4EFB4" w14:textId="77777777" w:rsidR="003E0973" w:rsidRPr="003E0973" w:rsidRDefault="003E0973" w:rsidP="003E0973">
            <w:pPr>
              <w:widowControl/>
              <w:jc w:val="left"/>
              <w:rPr>
                <w:rFonts w:ascii="Times New Roman" w:hAnsi="Times New Roman" w:cs="Times New Roman"/>
                <w:bCs/>
              </w:rPr>
            </w:pPr>
          </w:p>
          <w:p w14:paraId="6F0C7A49" w14:textId="64E37DFF" w:rsidR="003E0973" w:rsidRPr="003E0973" w:rsidRDefault="003E0973" w:rsidP="003E0973">
            <w:pPr>
              <w:rPr>
                <w:rFonts w:ascii="Times New Roman" w:hAnsi="Times New Roman" w:cs="Times New Roman"/>
                <w:b/>
                <w:bCs/>
              </w:rPr>
            </w:pPr>
            <w:r w:rsidRPr="003E0973">
              <w:rPr>
                <w:rFonts w:ascii="Times New Roman" w:hAnsi="Times New Roman" w:cs="Times New Roman"/>
                <w:b/>
                <w:bCs/>
              </w:rPr>
              <w:t>Agreements</w:t>
            </w:r>
            <w:r>
              <w:rPr>
                <w:rFonts w:ascii="Times New Roman" w:hAnsi="Times New Roman" w:cs="Times New Roman"/>
                <w:b/>
                <w:bCs/>
              </w:rPr>
              <w:t xml:space="preserve"> from RAN</w:t>
            </w:r>
            <w:r w:rsidR="0012010C">
              <w:rPr>
                <w:rFonts w:ascii="Times New Roman" w:hAnsi="Times New Roman" w:cs="Times New Roman"/>
                <w:b/>
                <w:bCs/>
              </w:rPr>
              <w:t>2</w:t>
            </w:r>
            <w:r>
              <w:rPr>
                <w:rFonts w:ascii="Times New Roman" w:hAnsi="Times New Roman" w:cs="Times New Roman"/>
                <w:b/>
                <w:bCs/>
              </w:rPr>
              <w:t xml:space="preserve"> 12</w:t>
            </w:r>
            <w:r w:rsidR="000D4113">
              <w:rPr>
                <w:rFonts w:ascii="Times New Roman" w:hAnsi="Times New Roman" w:cs="Times New Roman"/>
                <w:b/>
                <w:bCs/>
              </w:rPr>
              <w:t>2</w:t>
            </w:r>
            <w:r w:rsidRPr="003E0973">
              <w:rPr>
                <w:rFonts w:ascii="Times New Roman" w:hAnsi="Times New Roman" w:cs="Times New Roman"/>
                <w:b/>
                <w:bCs/>
              </w:rPr>
              <w:t>:</w:t>
            </w:r>
          </w:p>
          <w:p w14:paraId="7B5233BC" w14:textId="3641BBF0" w:rsidR="003E0973" w:rsidRPr="003E0973" w:rsidRDefault="003E0973" w:rsidP="003E0973">
            <w:pPr>
              <w:widowControl/>
              <w:numPr>
                <w:ilvl w:val="0"/>
                <w:numId w:val="28"/>
              </w:numPr>
              <w:jc w:val="left"/>
              <w:rPr>
                <w:rFonts w:ascii="Times New Roman" w:hAnsi="Times New Roman" w:cs="Times New Roman"/>
                <w:bCs/>
              </w:rPr>
            </w:pPr>
            <w:r w:rsidRPr="003E0973">
              <w:rPr>
                <w:rFonts w:ascii="Times New Roman" w:hAnsi="Times New Roman" w:cs="Times New Roman"/>
                <w:bCs/>
              </w:rPr>
              <w:t>From RAN2 perspective synchronization among source and target cells is not an issue in NTN RACH-less HO</w:t>
            </w:r>
          </w:p>
          <w:p w14:paraId="1B97A929" w14:textId="678A5122" w:rsidR="003E0973" w:rsidRPr="00D73C0C" w:rsidRDefault="003E0973" w:rsidP="003E0973">
            <w:pPr>
              <w:widowControl/>
              <w:numPr>
                <w:ilvl w:val="0"/>
                <w:numId w:val="28"/>
              </w:numPr>
              <w:jc w:val="left"/>
              <w:rPr>
                <w:rFonts w:ascii="Times New Roman" w:hAnsi="Times New Roman" w:cs="Times New Roman"/>
                <w:bCs/>
                <w:highlight w:val="yellow"/>
              </w:rPr>
            </w:pPr>
            <w:r w:rsidRPr="00D73C0C">
              <w:rPr>
                <w:rFonts w:ascii="Times New Roman" w:hAnsi="Times New Roman" w:cs="Times New Roman"/>
                <w:bCs/>
                <w:highlight w:val="yellow"/>
              </w:rPr>
              <w:lastRenderedPageBreak/>
              <w:t>Release pre-allocated UL grant after RACH-less HO completion</w:t>
            </w:r>
          </w:p>
          <w:p w14:paraId="24415919" w14:textId="3943849B" w:rsidR="003E0973" w:rsidRPr="003E0973" w:rsidRDefault="003E0973" w:rsidP="003E0973">
            <w:pPr>
              <w:widowControl/>
              <w:numPr>
                <w:ilvl w:val="0"/>
                <w:numId w:val="28"/>
              </w:numPr>
              <w:jc w:val="left"/>
              <w:rPr>
                <w:rFonts w:ascii="Times New Roman" w:hAnsi="Times New Roman" w:cs="Times New Roman"/>
                <w:bCs/>
              </w:rPr>
            </w:pPr>
            <w:r w:rsidRPr="00D73C0C">
              <w:rPr>
                <w:rFonts w:ascii="Times New Roman" w:hAnsi="Times New Roman" w:cs="Times New Roman"/>
                <w:bCs/>
                <w:highlight w:val="yellow"/>
              </w:rPr>
              <w:t>LTE approach (of confirming the HO completion) is reused for both pre-allocated grant and dynamic grant.</w:t>
            </w:r>
            <w:r w:rsidRPr="003E0973">
              <w:rPr>
                <w:rFonts w:ascii="Times New Roman" w:hAnsi="Times New Roman" w:cs="Times New Roman"/>
                <w:bCs/>
              </w:rPr>
              <w:t xml:space="preserve"> FFS any enhancement to the confirmation of RACH-less HO completion, e.g. the NW does not send the UE Contention Resolution Identity MAC CE, and sends PDCCH/PDSCH addressed to C-RNTI</w:t>
            </w:r>
          </w:p>
          <w:p w14:paraId="3F9943C1" w14:textId="3BB16AEE" w:rsidR="003E0973" w:rsidRPr="003E0973" w:rsidRDefault="003E0973" w:rsidP="003E0973">
            <w:pPr>
              <w:widowControl/>
              <w:numPr>
                <w:ilvl w:val="0"/>
                <w:numId w:val="28"/>
              </w:numPr>
              <w:jc w:val="left"/>
              <w:rPr>
                <w:bCs/>
                <w:lang w:val="en-GB"/>
              </w:rPr>
            </w:pPr>
            <w:r w:rsidRPr="003E0973">
              <w:rPr>
                <w:rFonts w:ascii="Times New Roman" w:hAnsi="Times New Roman" w:cs="Times New Roman"/>
                <w:bCs/>
              </w:rPr>
              <w:t>Remove “FFS how to perform RACH-less UL synchronization to NTN target cell”, RAN2 assumes the UL sync handling in the target cell is the same in RACH-based HO and RACH-less HO, except how to acquire NTA (FFS on the spec impact , if any)</w:t>
            </w:r>
          </w:p>
        </w:tc>
      </w:tr>
    </w:tbl>
    <w:p w14:paraId="1976A0A0" w14:textId="05EDC3B7" w:rsidR="005866B1" w:rsidRDefault="00CA03E2" w:rsidP="00D02D3B">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F</w:t>
      </w:r>
      <w:r>
        <w:rPr>
          <w:rFonts w:ascii="Times New Roman" w:eastAsia="宋体" w:hAnsi="Times New Roman" w:cs="Times New Roman"/>
          <w:kern w:val="0"/>
          <w:sz w:val="20"/>
          <w:szCs w:val="20"/>
        </w:rPr>
        <w:t xml:space="preserve">or confirming the HO completion, </w:t>
      </w:r>
      <w:r w:rsidR="0087197F">
        <w:rPr>
          <w:rFonts w:ascii="Times New Roman" w:eastAsia="宋体" w:hAnsi="Times New Roman" w:cs="Times New Roman"/>
          <w:kern w:val="0"/>
          <w:sz w:val="20"/>
          <w:szCs w:val="20"/>
        </w:rPr>
        <w:t xml:space="preserve">the LTE approach can be reused for </w:t>
      </w:r>
      <w:r w:rsidR="0087197F" w:rsidRPr="0087197F">
        <w:rPr>
          <w:rFonts w:ascii="Times New Roman" w:eastAsia="宋体" w:hAnsi="Times New Roman" w:cs="Times New Roman"/>
          <w:kern w:val="0"/>
          <w:sz w:val="20"/>
          <w:szCs w:val="20"/>
        </w:rPr>
        <w:t>both pre-allocated grant and dynamic grant</w:t>
      </w:r>
      <w:r w:rsidR="0087197F">
        <w:rPr>
          <w:rFonts w:ascii="Times New Roman" w:eastAsia="宋体" w:hAnsi="Times New Roman" w:cs="Times New Roman"/>
          <w:kern w:val="0"/>
          <w:sz w:val="20"/>
          <w:szCs w:val="20"/>
        </w:rPr>
        <w:t xml:space="preserve"> as baseline as agreed in NTN, where </w:t>
      </w:r>
      <w:r w:rsidR="00417286">
        <w:rPr>
          <w:rFonts w:ascii="Times New Roman" w:eastAsia="宋体" w:hAnsi="Times New Roman" w:cs="Times New Roman"/>
          <w:kern w:val="0"/>
          <w:sz w:val="20"/>
          <w:szCs w:val="20"/>
        </w:rPr>
        <w:t xml:space="preserve">NW sends the </w:t>
      </w:r>
      <w:r w:rsidR="0087197F" w:rsidRPr="0087197F">
        <w:rPr>
          <w:rFonts w:ascii="Times New Roman" w:eastAsia="宋体" w:hAnsi="Times New Roman" w:cs="Times New Roman"/>
          <w:kern w:val="0"/>
          <w:sz w:val="20"/>
          <w:szCs w:val="20"/>
        </w:rPr>
        <w:t xml:space="preserve">UE Contention Resolution Identity MAC CE </w:t>
      </w:r>
      <w:r w:rsidR="00417286">
        <w:rPr>
          <w:rFonts w:ascii="Times New Roman" w:eastAsia="宋体" w:hAnsi="Times New Roman" w:cs="Times New Roman"/>
          <w:kern w:val="0"/>
          <w:sz w:val="20"/>
          <w:szCs w:val="20"/>
        </w:rPr>
        <w:t>to UE</w:t>
      </w:r>
      <w:r w:rsidR="00EB583A">
        <w:rPr>
          <w:rFonts w:ascii="Times New Roman" w:eastAsia="宋体" w:hAnsi="Times New Roman" w:cs="Times New Roman"/>
          <w:kern w:val="0"/>
          <w:sz w:val="20"/>
          <w:szCs w:val="20"/>
        </w:rPr>
        <w:t>,</w:t>
      </w:r>
      <w:r w:rsidR="0087197F" w:rsidRPr="0087197F">
        <w:rPr>
          <w:rFonts w:ascii="Times New Roman" w:eastAsia="宋体" w:hAnsi="Times New Roman" w:cs="Times New Roman"/>
          <w:kern w:val="0"/>
          <w:sz w:val="20"/>
          <w:szCs w:val="20"/>
        </w:rPr>
        <w:t xml:space="preserve"> but UE ignores the content of this field</w:t>
      </w:r>
      <w:r w:rsidR="00417286">
        <w:rPr>
          <w:rFonts w:ascii="Times New Roman" w:eastAsia="宋体" w:hAnsi="Times New Roman" w:cs="Times New Roman"/>
          <w:kern w:val="0"/>
          <w:sz w:val="20"/>
          <w:szCs w:val="20"/>
        </w:rPr>
        <w:t xml:space="preserve">. And whether to introduce any enhancements </w:t>
      </w:r>
      <w:r w:rsidR="00EB583A">
        <w:rPr>
          <w:rFonts w:ascii="Times New Roman" w:eastAsia="宋体" w:hAnsi="Times New Roman" w:cs="Times New Roman"/>
          <w:kern w:val="0"/>
          <w:sz w:val="20"/>
          <w:szCs w:val="20"/>
        </w:rPr>
        <w:t>for confirming HO completion can wait further progress from NTN.</w:t>
      </w:r>
    </w:p>
    <w:p w14:paraId="2C3618D8" w14:textId="2C670F25" w:rsidR="00EB583A" w:rsidRPr="00EB583A" w:rsidRDefault="00EB583A" w:rsidP="00EB583A">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EB583A">
        <w:rPr>
          <w:rFonts w:ascii="Times New Roman" w:eastAsia="宋体" w:hAnsi="Times New Roman" w:cs="Times New Roman"/>
          <w:b/>
          <w:bCs/>
          <w:kern w:val="0"/>
          <w:sz w:val="20"/>
          <w:szCs w:val="20"/>
        </w:rPr>
        <w:t>Proposal 3: LTE approach of confirming the HO completion is reused for both pre-allocated grant and dynamic grant</w:t>
      </w:r>
      <w:r>
        <w:rPr>
          <w:rFonts w:ascii="Times New Roman" w:eastAsia="宋体" w:hAnsi="Times New Roman" w:cs="Times New Roman"/>
          <w:b/>
          <w:bCs/>
          <w:kern w:val="0"/>
          <w:sz w:val="20"/>
          <w:szCs w:val="20"/>
        </w:rPr>
        <w:t xml:space="preserve"> as baseline</w:t>
      </w:r>
      <w:r w:rsidRPr="00EB583A">
        <w:rPr>
          <w:rFonts w:ascii="Times New Roman" w:eastAsia="宋体" w:hAnsi="Times New Roman" w:cs="Times New Roman"/>
          <w:b/>
          <w:bCs/>
          <w:kern w:val="0"/>
          <w:sz w:val="20"/>
          <w:szCs w:val="20"/>
        </w:rPr>
        <w:t xml:space="preserve">, </w:t>
      </w:r>
      <w:r w:rsidR="00BC23A2">
        <w:rPr>
          <w:rFonts w:ascii="Times New Roman" w:eastAsia="宋体" w:hAnsi="Times New Roman" w:cs="Times New Roman"/>
          <w:b/>
          <w:bCs/>
          <w:kern w:val="0"/>
          <w:sz w:val="20"/>
          <w:szCs w:val="20"/>
        </w:rPr>
        <w:t xml:space="preserve">where </w:t>
      </w:r>
      <w:r w:rsidRPr="00EB583A">
        <w:rPr>
          <w:rFonts w:ascii="Times New Roman" w:eastAsia="宋体" w:hAnsi="Times New Roman" w:cs="Times New Roman"/>
          <w:b/>
          <w:bCs/>
          <w:kern w:val="0"/>
          <w:sz w:val="20"/>
          <w:szCs w:val="20"/>
        </w:rPr>
        <w:t>NW sends the UE Contention Resolution Identity MAC CE to UE,</w:t>
      </w:r>
      <w:r>
        <w:rPr>
          <w:rFonts w:ascii="Times New Roman" w:eastAsia="宋体" w:hAnsi="Times New Roman" w:cs="Times New Roman"/>
          <w:b/>
          <w:bCs/>
          <w:kern w:val="0"/>
          <w:sz w:val="20"/>
          <w:szCs w:val="20"/>
        </w:rPr>
        <w:t xml:space="preserve"> but </w:t>
      </w:r>
      <w:r w:rsidRPr="00EB583A">
        <w:rPr>
          <w:rFonts w:ascii="Times New Roman" w:eastAsia="宋体" w:hAnsi="Times New Roman" w:cs="Times New Roman"/>
          <w:b/>
          <w:bCs/>
          <w:kern w:val="0"/>
          <w:sz w:val="20"/>
          <w:szCs w:val="20"/>
        </w:rPr>
        <w:t>UE ignores the content of this field.</w:t>
      </w:r>
    </w:p>
    <w:p w14:paraId="7FB45CF4" w14:textId="4D5F3727" w:rsidR="00221F14" w:rsidRPr="00EB583A" w:rsidRDefault="00F1543A" w:rsidP="00D02D3B">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s for the handling of RACH-less HO failure, as legacy, UE will initiate RRC re-establishment procedure when T304 expiries.</w:t>
      </w:r>
    </w:p>
    <w:p w14:paraId="05686427" w14:textId="448DB4D9" w:rsidR="007E340F" w:rsidRPr="00F1543A" w:rsidRDefault="007E340F" w:rsidP="00D02D3B">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F1543A">
        <w:rPr>
          <w:rFonts w:ascii="Times New Roman" w:eastAsia="宋体" w:hAnsi="Times New Roman" w:cs="Times New Roman"/>
          <w:b/>
          <w:bCs/>
          <w:kern w:val="0"/>
          <w:sz w:val="20"/>
          <w:szCs w:val="20"/>
        </w:rPr>
        <w:t xml:space="preserve">Proposal 4: For handle RACH-less HO failure, </w:t>
      </w:r>
      <w:r w:rsidR="00F1543A" w:rsidRPr="00F1543A">
        <w:rPr>
          <w:rFonts w:ascii="Times New Roman" w:eastAsia="宋体" w:hAnsi="Times New Roman" w:cs="Times New Roman"/>
          <w:b/>
          <w:bCs/>
          <w:kern w:val="0"/>
          <w:sz w:val="20"/>
          <w:szCs w:val="20"/>
        </w:rPr>
        <w:t>UE will initiate RRC re-establishment procedure when T304 expiries.</w:t>
      </w:r>
    </w:p>
    <w:p w14:paraId="2992638F" w14:textId="41672174" w:rsidR="00FA3FF7" w:rsidRPr="00FA3FF7" w:rsidRDefault="00FA3FF7" w:rsidP="00C5700F">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2"/>
          <w:u w:val="single"/>
        </w:rPr>
      </w:pPr>
      <w:r>
        <w:rPr>
          <w:rFonts w:ascii="Times New Roman" w:eastAsia="宋体" w:hAnsi="Times New Roman" w:cs="Times New Roman"/>
          <w:b/>
          <w:bCs/>
          <w:kern w:val="0"/>
          <w:sz w:val="22"/>
          <w:u w:val="single"/>
        </w:rPr>
        <w:t>On-board UE status identification</w:t>
      </w:r>
    </w:p>
    <w:p w14:paraId="41210F01" w14:textId="5EDEEF62" w:rsidR="00C5700F" w:rsidRPr="00787658" w:rsidRDefault="00C5700F" w:rsidP="00C5700F">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sidRPr="00787658">
        <w:rPr>
          <w:rFonts w:ascii="Times New Roman" w:eastAsia="宋体" w:hAnsi="Times New Roman" w:cs="Times New Roman"/>
          <w:kern w:val="0"/>
          <w:sz w:val="20"/>
          <w:szCs w:val="20"/>
        </w:rPr>
        <w:t>R</w:t>
      </w:r>
      <w:r>
        <w:rPr>
          <w:rFonts w:ascii="Times New Roman" w:eastAsia="宋体" w:hAnsi="Times New Roman" w:cs="Times New Roman"/>
          <w:kern w:val="0"/>
          <w:sz w:val="20"/>
          <w:szCs w:val="20"/>
        </w:rPr>
        <w:t>AN</w:t>
      </w:r>
      <w:r w:rsidRPr="00787658">
        <w:rPr>
          <w:rFonts w:ascii="Times New Roman" w:eastAsia="宋体" w:hAnsi="Times New Roman" w:cs="Times New Roman"/>
          <w:kern w:val="0"/>
          <w:sz w:val="20"/>
          <w:szCs w:val="20"/>
        </w:rPr>
        <w:t xml:space="preserve">2 </w:t>
      </w:r>
      <w:r>
        <w:rPr>
          <w:rFonts w:ascii="Times New Roman" w:eastAsia="宋体" w:hAnsi="Times New Roman" w:cs="Times New Roman"/>
          <w:kern w:val="0"/>
          <w:sz w:val="20"/>
          <w:szCs w:val="20"/>
        </w:rPr>
        <w:t>has agreed that</w:t>
      </w:r>
      <w:r w:rsidRPr="00787658">
        <w:rPr>
          <w:rFonts w:ascii="Times New Roman" w:eastAsia="宋体" w:hAnsi="Times New Roman" w:cs="Times New Roman"/>
          <w:kern w:val="0"/>
          <w:sz w:val="20"/>
          <w:szCs w:val="20"/>
        </w:rPr>
        <w:t xml:space="preserve"> RACH-less procedure may be considered for on-board RRC_CONNECTED UEs, which are to be handed over together with the mobile IAB-node</w:t>
      </w:r>
      <w:r>
        <w:rPr>
          <w:rFonts w:ascii="Times New Roman" w:eastAsia="宋体" w:hAnsi="Times New Roman" w:cs="Times New Roman"/>
          <w:kern w:val="0"/>
          <w:sz w:val="20"/>
          <w:szCs w:val="20"/>
        </w:rPr>
        <w:t xml:space="preserve">. It means that the target IAB-donor-CU needs to be aware of the on-board/surrounding </w:t>
      </w:r>
      <w:r w:rsidRPr="00773E4B">
        <w:rPr>
          <w:rFonts w:ascii="Times New Roman" w:eastAsia="宋体" w:hAnsi="Times New Roman" w:cs="Times New Roman"/>
          <w:kern w:val="0"/>
          <w:sz w:val="20"/>
          <w:szCs w:val="20"/>
        </w:rPr>
        <w:t xml:space="preserve">status </w:t>
      </w:r>
      <w:r>
        <w:rPr>
          <w:rFonts w:ascii="Times New Roman" w:eastAsia="宋体" w:hAnsi="Times New Roman" w:cs="Times New Roman"/>
          <w:kern w:val="0"/>
          <w:sz w:val="20"/>
          <w:szCs w:val="20"/>
        </w:rPr>
        <w:t xml:space="preserve">of handover UE and may needs to make some optimizations for the on-board UE than the surrounding UE. Therefore, </w:t>
      </w:r>
      <w:r w:rsidRPr="00F612F9">
        <w:rPr>
          <w:rFonts w:ascii="Times New Roman" w:eastAsia="宋体" w:hAnsi="Times New Roman" w:cs="Times New Roman"/>
          <w:kern w:val="0"/>
          <w:sz w:val="20"/>
          <w:szCs w:val="20"/>
        </w:rPr>
        <w:t xml:space="preserve">on-board/surrounding </w:t>
      </w:r>
      <w:r w:rsidRPr="00773E4B">
        <w:rPr>
          <w:rFonts w:ascii="Times New Roman" w:eastAsia="宋体" w:hAnsi="Times New Roman" w:cs="Times New Roman"/>
          <w:kern w:val="0"/>
          <w:sz w:val="20"/>
          <w:szCs w:val="20"/>
        </w:rPr>
        <w:t>status</w:t>
      </w:r>
      <w:r w:rsidRPr="0002183F">
        <w:rPr>
          <w:rFonts w:ascii="Times New Roman" w:eastAsia="宋体" w:hAnsi="Times New Roman" w:cs="Times New Roman"/>
          <w:b/>
          <w:bCs/>
          <w:kern w:val="0"/>
          <w:sz w:val="20"/>
          <w:szCs w:val="20"/>
        </w:rPr>
        <w:t xml:space="preserve"> </w:t>
      </w:r>
      <w:r w:rsidRPr="00F612F9">
        <w:rPr>
          <w:rFonts w:ascii="Times New Roman" w:eastAsia="宋体" w:hAnsi="Times New Roman" w:cs="Times New Roman"/>
          <w:kern w:val="0"/>
          <w:sz w:val="20"/>
          <w:szCs w:val="20"/>
        </w:rPr>
        <w:t xml:space="preserve">of </w:t>
      </w:r>
      <w:r>
        <w:rPr>
          <w:rFonts w:ascii="Times New Roman" w:eastAsia="宋体" w:hAnsi="Times New Roman" w:cs="Times New Roman"/>
          <w:kern w:val="0"/>
          <w:sz w:val="20"/>
          <w:szCs w:val="20"/>
        </w:rPr>
        <w:t>UE can be included in the handover request message.</w:t>
      </w:r>
    </w:p>
    <w:p w14:paraId="2C4975FA" w14:textId="6F6F4219" w:rsidR="00C5700F" w:rsidRDefault="00C5700F" w:rsidP="00C5700F">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bookmarkStart w:id="3" w:name="OLE_LINK8"/>
      <w:r w:rsidRPr="00F612F9">
        <w:rPr>
          <w:rFonts w:ascii="Times New Roman" w:eastAsia="宋体" w:hAnsi="Times New Roman" w:cs="Times New Roman" w:hint="eastAsia"/>
          <w:b/>
          <w:bCs/>
          <w:kern w:val="0"/>
          <w:sz w:val="20"/>
          <w:szCs w:val="20"/>
        </w:rPr>
        <w:t>P</w:t>
      </w:r>
      <w:r w:rsidRPr="00F612F9">
        <w:rPr>
          <w:rFonts w:ascii="Times New Roman" w:eastAsia="宋体" w:hAnsi="Times New Roman" w:cs="Times New Roman"/>
          <w:b/>
          <w:bCs/>
          <w:kern w:val="0"/>
          <w:sz w:val="20"/>
          <w:szCs w:val="20"/>
        </w:rPr>
        <w:t xml:space="preserve">roposal </w:t>
      </w:r>
      <w:r w:rsidR="00E00335">
        <w:rPr>
          <w:rFonts w:ascii="Times New Roman" w:eastAsia="宋体" w:hAnsi="Times New Roman" w:cs="Times New Roman"/>
          <w:b/>
          <w:bCs/>
          <w:kern w:val="0"/>
          <w:sz w:val="20"/>
          <w:szCs w:val="20"/>
        </w:rPr>
        <w:t>5</w:t>
      </w:r>
      <w:r w:rsidRPr="00F612F9">
        <w:rPr>
          <w:rFonts w:ascii="Times New Roman" w:eastAsia="宋体" w:hAnsi="Times New Roman" w:cs="Times New Roman"/>
          <w:b/>
          <w:bCs/>
          <w:kern w:val="0"/>
          <w:sz w:val="20"/>
          <w:szCs w:val="20"/>
        </w:rPr>
        <w:t xml:space="preserve">: </w:t>
      </w:r>
      <w:r w:rsidR="007538A0">
        <w:rPr>
          <w:rFonts w:ascii="Times New Roman" w:eastAsia="宋体" w:hAnsi="Times New Roman" w:cs="Times New Roman"/>
          <w:b/>
          <w:bCs/>
          <w:kern w:val="0"/>
          <w:sz w:val="20"/>
          <w:szCs w:val="20"/>
        </w:rPr>
        <w:t xml:space="preserve">In case of UE handover during </w:t>
      </w:r>
      <w:r w:rsidR="005A26F8">
        <w:rPr>
          <w:rFonts w:ascii="Times New Roman" w:eastAsia="宋体" w:hAnsi="Times New Roman" w:cs="Times New Roman"/>
          <w:b/>
          <w:bCs/>
          <w:kern w:val="0"/>
          <w:sz w:val="20"/>
          <w:szCs w:val="20"/>
        </w:rPr>
        <w:t>IAB-DU migration, to i</w:t>
      </w:r>
      <w:r>
        <w:rPr>
          <w:rFonts w:ascii="Times New Roman" w:eastAsia="宋体" w:hAnsi="Times New Roman" w:cs="Times New Roman"/>
          <w:b/>
          <w:bCs/>
          <w:kern w:val="0"/>
          <w:sz w:val="20"/>
          <w:szCs w:val="20"/>
        </w:rPr>
        <w:t>nclud</w:t>
      </w:r>
      <w:r w:rsidR="005A26F8">
        <w:rPr>
          <w:rFonts w:ascii="Times New Roman" w:eastAsia="宋体" w:hAnsi="Times New Roman" w:cs="Times New Roman"/>
          <w:b/>
          <w:bCs/>
          <w:kern w:val="0"/>
          <w:sz w:val="20"/>
          <w:szCs w:val="20"/>
        </w:rPr>
        <w:t>e</w:t>
      </w:r>
      <w:r>
        <w:rPr>
          <w:rFonts w:ascii="Times New Roman" w:eastAsia="宋体" w:hAnsi="Times New Roman" w:cs="Times New Roman"/>
          <w:b/>
          <w:bCs/>
          <w:kern w:val="0"/>
          <w:sz w:val="20"/>
          <w:szCs w:val="20"/>
        </w:rPr>
        <w:t xml:space="preserve"> o</w:t>
      </w:r>
      <w:r w:rsidRPr="00F612F9">
        <w:rPr>
          <w:rFonts w:ascii="Times New Roman" w:eastAsia="宋体" w:hAnsi="Times New Roman" w:cs="Times New Roman"/>
          <w:b/>
          <w:bCs/>
          <w:kern w:val="0"/>
          <w:sz w:val="20"/>
          <w:szCs w:val="20"/>
        </w:rPr>
        <w:t xml:space="preserve">n-board/surrounding </w:t>
      </w:r>
      <w:r w:rsidRPr="0002183F">
        <w:rPr>
          <w:rFonts w:ascii="Times New Roman" w:eastAsia="宋体" w:hAnsi="Times New Roman" w:cs="Times New Roman"/>
          <w:b/>
          <w:bCs/>
          <w:kern w:val="0"/>
          <w:sz w:val="20"/>
          <w:szCs w:val="20"/>
        </w:rPr>
        <w:t xml:space="preserve">status </w:t>
      </w:r>
      <w:r w:rsidRPr="00F612F9">
        <w:rPr>
          <w:rFonts w:ascii="Times New Roman" w:eastAsia="宋体" w:hAnsi="Times New Roman" w:cs="Times New Roman"/>
          <w:b/>
          <w:bCs/>
          <w:kern w:val="0"/>
          <w:sz w:val="20"/>
          <w:szCs w:val="20"/>
        </w:rPr>
        <w:t>of UE in the handover request message.</w:t>
      </w:r>
    </w:p>
    <w:bookmarkEnd w:id="3"/>
    <w:p w14:paraId="22B01614" w14:textId="5C2D6752" w:rsidR="00A539A4" w:rsidRDefault="00C5700F" w:rsidP="00A539A4">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n addition</w:t>
      </w:r>
      <w:r w:rsidR="00027CBB">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 for the o</w:t>
      </w:r>
      <w:r w:rsidRPr="00C5700F">
        <w:rPr>
          <w:rFonts w:ascii="Times New Roman" w:eastAsia="宋体" w:hAnsi="Times New Roman" w:cs="Times New Roman"/>
          <w:kern w:val="0"/>
          <w:sz w:val="20"/>
          <w:szCs w:val="20"/>
        </w:rPr>
        <w:t>n-board/surrounding status</w:t>
      </w:r>
      <w:r>
        <w:rPr>
          <w:rFonts w:ascii="Times New Roman" w:eastAsia="宋体" w:hAnsi="Times New Roman" w:cs="Times New Roman"/>
          <w:kern w:val="0"/>
          <w:sz w:val="20"/>
          <w:szCs w:val="20"/>
        </w:rPr>
        <w:t xml:space="preserve">, </w:t>
      </w:r>
      <w:r w:rsidR="00A539A4">
        <w:rPr>
          <w:rFonts w:ascii="Times New Roman" w:eastAsia="宋体" w:hAnsi="Times New Roman" w:cs="Times New Roman"/>
          <w:kern w:val="0"/>
          <w:sz w:val="20"/>
          <w:szCs w:val="20"/>
        </w:rPr>
        <w:t xml:space="preserve">all onboard UEs needs to perform migration together with the mobile IAB-node. While for the surrounding UEs camping on the mobile IAB-node, migration together with the mobile IAB-node is not an optimal choice. Once the surrounding UEs perform migration together with the mobile IAB-node, the measurement result of serving cell become worse gradually due to the mobility of mobile IAB-node, and the surrounding UEs may need to perform handover again within a short time. </w:t>
      </w:r>
    </w:p>
    <w:p w14:paraId="584BB409" w14:textId="786962A7" w:rsidR="00A539A4" w:rsidRDefault="00A539A4" w:rsidP="00A539A4">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In addition, as specified in the WID, n</w:t>
      </w:r>
      <w:r w:rsidRPr="00E75FF9">
        <w:rPr>
          <w:rFonts w:ascii="Times New Roman" w:eastAsia="宋体" w:hAnsi="Times New Roman" w:cs="Times New Roman"/>
          <w:kern w:val="0"/>
          <w:sz w:val="20"/>
          <w:szCs w:val="20"/>
        </w:rPr>
        <w:t xml:space="preserve">o optimizations </w:t>
      </w:r>
      <w:r>
        <w:rPr>
          <w:rFonts w:ascii="Times New Roman" w:eastAsia="宋体" w:hAnsi="Times New Roman" w:cs="Times New Roman"/>
          <w:kern w:val="0"/>
          <w:sz w:val="20"/>
          <w:szCs w:val="20"/>
        </w:rPr>
        <w:t xml:space="preserve">are </w:t>
      </w:r>
      <w:r w:rsidRPr="00E75FF9">
        <w:rPr>
          <w:rFonts w:ascii="Times New Roman" w:eastAsia="宋体" w:hAnsi="Times New Roman" w:cs="Times New Roman"/>
          <w:kern w:val="0"/>
          <w:sz w:val="20"/>
          <w:szCs w:val="20"/>
        </w:rPr>
        <w:t>for the targeting of surrounding UEs</w:t>
      </w:r>
      <w:r>
        <w:rPr>
          <w:rFonts w:ascii="Times New Roman" w:eastAsia="宋体" w:hAnsi="Times New Roman" w:cs="Times New Roman"/>
          <w:kern w:val="0"/>
          <w:sz w:val="20"/>
          <w:szCs w:val="20"/>
        </w:rPr>
        <w:t>, which means all enhancements related to group mobility</w:t>
      </w:r>
      <w:r w:rsidR="003F66B4">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are only considered for the onboard UEs. In addition, we have agreed that RACH-less handover may be only considered for on-board UEs rather than surrounding UEs. Therefore, it’s necessary to differentiate </w:t>
      </w:r>
      <w:r w:rsidRPr="00FC6BB4">
        <w:rPr>
          <w:rFonts w:ascii="Times New Roman" w:eastAsia="宋体" w:hAnsi="Times New Roman" w:cs="Times New Roman"/>
          <w:kern w:val="0"/>
          <w:sz w:val="20"/>
          <w:szCs w:val="20"/>
        </w:rPr>
        <w:t xml:space="preserve">onboard UEs and surrounding UEs for </w:t>
      </w:r>
      <w:r>
        <w:rPr>
          <w:rFonts w:ascii="Times New Roman" w:eastAsia="宋体" w:hAnsi="Times New Roman" w:cs="Times New Roman"/>
          <w:kern w:val="0"/>
          <w:sz w:val="20"/>
          <w:szCs w:val="20"/>
        </w:rPr>
        <w:t xml:space="preserve">IAB-donor. And no matter how UE determine whether it’s in the status of onboard or surrounding, </w:t>
      </w:r>
      <w:r w:rsidRPr="0002183F">
        <w:rPr>
          <w:rFonts w:ascii="Times New Roman" w:eastAsia="宋体" w:hAnsi="Times New Roman" w:cs="Times New Roman"/>
          <w:kern w:val="0"/>
          <w:sz w:val="20"/>
          <w:szCs w:val="20"/>
        </w:rPr>
        <w:t xml:space="preserve">UE </w:t>
      </w:r>
      <w:r>
        <w:rPr>
          <w:rFonts w:ascii="Times New Roman" w:eastAsia="宋体" w:hAnsi="Times New Roman" w:cs="Times New Roman"/>
          <w:kern w:val="0"/>
          <w:sz w:val="20"/>
          <w:szCs w:val="20"/>
        </w:rPr>
        <w:t xml:space="preserve">needs to </w:t>
      </w:r>
      <w:r w:rsidRPr="0002183F">
        <w:rPr>
          <w:rFonts w:ascii="Times New Roman" w:eastAsia="宋体" w:hAnsi="Times New Roman" w:cs="Times New Roman"/>
          <w:kern w:val="0"/>
          <w:sz w:val="20"/>
          <w:szCs w:val="20"/>
        </w:rPr>
        <w:t xml:space="preserve">report its onboard/surrounding status to </w:t>
      </w:r>
      <w:r>
        <w:rPr>
          <w:rFonts w:ascii="Times New Roman" w:eastAsia="宋体" w:hAnsi="Times New Roman" w:cs="Times New Roman"/>
          <w:kern w:val="0"/>
          <w:sz w:val="20"/>
          <w:szCs w:val="20"/>
        </w:rPr>
        <w:t>IAB-donor</w:t>
      </w:r>
      <w:r w:rsidRPr="0002183F">
        <w:rPr>
          <w:rFonts w:ascii="Times New Roman" w:eastAsia="宋体" w:hAnsi="Times New Roman" w:cs="Times New Roman"/>
          <w:kern w:val="0"/>
          <w:sz w:val="20"/>
          <w:szCs w:val="20"/>
        </w:rPr>
        <w:t xml:space="preserve"> once it determine</w:t>
      </w:r>
      <w:r>
        <w:rPr>
          <w:rFonts w:ascii="Times New Roman" w:eastAsia="宋体" w:hAnsi="Times New Roman" w:cs="Times New Roman"/>
          <w:kern w:val="0"/>
          <w:sz w:val="20"/>
          <w:szCs w:val="20"/>
        </w:rPr>
        <w:t>s</w:t>
      </w:r>
      <w:r w:rsidRPr="0002183F">
        <w:rPr>
          <w:rFonts w:ascii="Times New Roman" w:eastAsia="宋体" w:hAnsi="Times New Roman" w:cs="Times New Roman"/>
          <w:kern w:val="0"/>
          <w:sz w:val="20"/>
          <w:szCs w:val="20"/>
        </w:rPr>
        <w:t xml:space="preserve"> the status or change</w:t>
      </w:r>
      <w:r>
        <w:rPr>
          <w:rFonts w:ascii="Times New Roman" w:eastAsia="宋体" w:hAnsi="Times New Roman" w:cs="Times New Roman"/>
          <w:kern w:val="0"/>
          <w:sz w:val="20"/>
          <w:szCs w:val="20"/>
        </w:rPr>
        <w:t>s</w:t>
      </w:r>
      <w:r w:rsidRPr="0002183F">
        <w:rPr>
          <w:rFonts w:ascii="Times New Roman" w:eastAsia="宋体" w:hAnsi="Times New Roman" w:cs="Times New Roman"/>
          <w:kern w:val="0"/>
          <w:sz w:val="20"/>
          <w:szCs w:val="20"/>
        </w:rPr>
        <w:t xml:space="preserve"> the status</w:t>
      </w:r>
      <w:r>
        <w:rPr>
          <w:rFonts w:ascii="Times New Roman" w:eastAsia="宋体" w:hAnsi="Times New Roman" w:cs="Times New Roman"/>
          <w:kern w:val="0"/>
          <w:sz w:val="20"/>
          <w:szCs w:val="20"/>
        </w:rPr>
        <w:t>.</w:t>
      </w:r>
    </w:p>
    <w:p w14:paraId="6B46B501" w14:textId="4D738DA4" w:rsidR="00A539A4" w:rsidRDefault="00A539A4" w:rsidP="00A539A4">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02183F">
        <w:rPr>
          <w:rFonts w:ascii="Times New Roman" w:eastAsia="宋体" w:hAnsi="Times New Roman" w:cs="Times New Roman"/>
          <w:b/>
          <w:bCs/>
          <w:kern w:val="0"/>
          <w:sz w:val="20"/>
          <w:szCs w:val="20"/>
        </w:rPr>
        <w:t xml:space="preserve">Proposal </w:t>
      </w:r>
      <w:r w:rsidR="00E00335">
        <w:rPr>
          <w:rFonts w:ascii="Times New Roman" w:eastAsia="宋体" w:hAnsi="Times New Roman" w:cs="Times New Roman"/>
          <w:b/>
          <w:bCs/>
          <w:kern w:val="0"/>
          <w:sz w:val="20"/>
          <w:szCs w:val="20"/>
        </w:rPr>
        <w:t>6</w:t>
      </w:r>
      <w:r w:rsidRPr="0002183F">
        <w:rPr>
          <w:rFonts w:ascii="Times New Roman" w:eastAsia="宋体" w:hAnsi="Times New Roman" w:cs="Times New Roman"/>
          <w:b/>
          <w:bCs/>
          <w:kern w:val="0"/>
          <w:sz w:val="20"/>
          <w:szCs w:val="20"/>
        </w:rPr>
        <w:t xml:space="preserve">: UE reports its onboard/surrounding status to </w:t>
      </w:r>
      <w:r>
        <w:rPr>
          <w:rFonts w:ascii="Times New Roman" w:eastAsia="宋体" w:hAnsi="Times New Roman" w:cs="Times New Roman"/>
          <w:b/>
          <w:bCs/>
          <w:kern w:val="0"/>
          <w:sz w:val="20"/>
          <w:szCs w:val="20"/>
        </w:rPr>
        <w:t>IAB-donor</w:t>
      </w:r>
      <w:r w:rsidRPr="0002183F">
        <w:rPr>
          <w:rFonts w:ascii="Times New Roman" w:eastAsia="宋体" w:hAnsi="Times New Roman" w:cs="Times New Roman"/>
          <w:b/>
          <w:bCs/>
          <w:kern w:val="0"/>
          <w:sz w:val="20"/>
          <w:szCs w:val="20"/>
        </w:rPr>
        <w:t xml:space="preserve"> once it determine</w:t>
      </w:r>
      <w:r>
        <w:rPr>
          <w:rFonts w:ascii="Times New Roman" w:eastAsia="宋体" w:hAnsi="Times New Roman" w:cs="Times New Roman"/>
          <w:b/>
          <w:bCs/>
          <w:kern w:val="0"/>
          <w:sz w:val="20"/>
          <w:szCs w:val="20"/>
        </w:rPr>
        <w:t>s</w:t>
      </w:r>
      <w:r w:rsidRPr="0002183F">
        <w:rPr>
          <w:rFonts w:ascii="Times New Roman" w:eastAsia="宋体" w:hAnsi="Times New Roman" w:cs="Times New Roman"/>
          <w:b/>
          <w:bCs/>
          <w:kern w:val="0"/>
          <w:sz w:val="20"/>
          <w:szCs w:val="20"/>
        </w:rPr>
        <w:t xml:space="preserve"> the status or change</w:t>
      </w:r>
      <w:r>
        <w:rPr>
          <w:rFonts w:ascii="Times New Roman" w:eastAsia="宋体" w:hAnsi="Times New Roman" w:cs="Times New Roman"/>
          <w:b/>
          <w:bCs/>
          <w:kern w:val="0"/>
          <w:sz w:val="20"/>
          <w:szCs w:val="20"/>
        </w:rPr>
        <w:t>s</w:t>
      </w:r>
      <w:r w:rsidRPr="0002183F">
        <w:rPr>
          <w:rFonts w:ascii="Times New Roman" w:eastAsia="宋体" w:hAnsi="Times New Roman" w:cs="Times New Roman"/>
          <w:b/>
          <w:bCs/>
          <w:kern w:val="0"/>
          <w:sz w:val="20"/>
          <w:szCs w:val="20"/>
        </w:rPr>
        <w:t xml:space="preserve"> the status.</w:t>
      </w:r>
    </w:p>
    <w:p w14:paraId="03BD1BBD" w14:textId="77777777" w:rsidR="009036A3" w:rsidRPr="0066723C" w:rsidRDefault="009036A3" w:rsidP="009036A3">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sidRPr="008C2BCF">
        <w:rPr>
          <w:rFonts w:ascii="Times New Roman" w:eastAsia="宋体" w:hAnsi="Times New Roman" w:cs="Times New Roman"/>
          <w:b/>
          <w:bCs/>
          <w:kern w:val="0"/>
          <w:sz w:val="22"/>
          <w:u w:val="single"/>
        </w:rPr>
        <w:t>Fixed IAB-node handover</w:t>
      </w:r>
    </w:p>
    <w:p w14:paraId="0AC699B7" w14:textId="223C8EED" w:rsidR="00327596" w:rsidRDefault="00327596" w:rsidP="00327596">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For the mobile IAB-node, </w:t>
      </w: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t</w:t>
      </w:r>
      <w:r w:rsidRPr="00E44D1E">
        <w:rPr>
          <w:rFonts w:ascii="Times New Roman" w:eastAsia="宋体" w:hAnsi="Times New Roman" w:cs="Times New Roman"/>
          <w:kern w:val="0"/>
          <w:sz w:val="20"/>
          <w:szCs w:val="20"/>
        </w:rPr>
        <w:t xml:space="preserve"> should have no descendent IAB-nodes</w:t>
      </w:r>
      <w:r>
        <w:rPr>
          <w:rFonts w:ascii="Times New Roman" w:eastAsia="宋体" w:hAnsi="Times New Roman" w:cs="Times New Roman"/>
          <w:kern w:val="0"/>
          <w:sz w:val="20"/>
          <w:szCs w:val="20"/>
        </w:rPr>
        <w:t xml:space="preserve"> and only</w:t>
      </w:r>
      <w:r w:rsidRPr="00E44D1E">
        <w:rPr>
          <w:rFonts w:ascii="Times New Roman" w:eastAsia="宋体" w:hAnsi="Times New Roman" w:cs="Times New Roman"/>
          <w:kern w:val="0"/>
          <w:sz w:val="20"/>
          <w:szCs w:val="20"/>
        </w:rPr>
        <w:t xml:space="preserve"> serve</w:t>
      </w:r>
      <w:r>
        <w:rPr>
          <w:rFonts w:ascii="Times New Roman" w:eastAsia="宋体" w:hAnsi="Times New Roman" w:cs="Times New Roman"/>
          <w:kern w:val="0"/>
          <w:sz w:val="20"/>
          <w:szCs w:val="20"/>
        </w:rPr>
        <w:t xml:space="preserve"> for</w:t>
      </w:r>
      <w:r w:rsidRPr="00E44D1E">
        <w:rPr>
          <w:rFonts w:ascii="Times New Roman" w:eastAsia="宋体" w:hAnsi="Times New Roman" w:cs="Times New Roman"/>
          <w:kern w:val="0"/>
          <w:sz w:val="20"/>
          <w:szCs w:val="20"/>
        </w:rPr>
        <w:t xml:space="preserve"> UEs</w:t>
      </w:r>
      <w:r>
        <w:rPr>
          <w:rFonts w:ascii="Times New Roman" w:eastAsia="宋体" w:hAnsi="Times New Roman" w:cs="Times New Roman"/>
          <w:kern w:val="0"/>
          <w:sz w:val="20"/>
          <w:szCs w:val="20"/>
        </w:rPr>
        <w:t xml:space="preserve"> as defined in the WID.</w:t>
      </w:r>
      <w:r>
        <w:rPr>
          <w:rFonts w:ascii="Times New Roman" w:eastAsia="宋体" w:hAnsi="Times New Roman" w:cs="Times New Roman" w:hint="eastAsia"/>
          <w:kern w:val="0"/>
          <w:sz w:val="20"/>
          <w:szCs w:val="20"/>
        </w:rPr>
        <w:t xml:space="preserve"> I</w:t>
      </w:r>
      <w:r>
        <w:rPr>
          <w:rFonts w:ascii="Times New Roman" w:eastAsia="宋体" w:hAnsi="Times New Roman" w:cs="Times New Roman"/>
          <w:kern w:val="0"/>
          <w:sz w:val="20"/>
          <w:szCs w:val="20"/>
        </w:rPr>
        <w:t>n RAN2 119 e-meeting, RAN2 has agreed that t</w:t>
      </w:r>
      <w:r w:rsidRPr="00622D67">
        <w:rPr>
          <w:rFonts w:ascii="Times New Roman" w:eastAsia="宋体" w:hAnsi="Times New Roman" w:cs="Times New Roman"/>
          <w:kern w:val="0"/>
          <w:sz w:val="20"/>
          <w:szCs w:val="20"/>
        </w:rPr>
        <w:t>he method of not broadcasting “iab-Support” indication is sufficient to prevent other IAB-node from accessing mobile IAB</w:t>
      </w:r>
      <w:r>
        <w:rPr>
          <w:rFonts w:ascii="Times New Roman" w:eastAsia="宋体" w:hAnsi="Times New Roman" w:cs="Times New Roman"/>
          <w:kern w:val="0"/>
          <w:sz w:val="20"/>
          <w:szCs w:val="20"/>
        </w:rPr>
        <w:t>-node</w:t>
      </w:r>
      <w:r w:rsidRPr="00622D67">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 However, the </w:t>
      </w:r>
      <w:r w:rsidRPr="00622D67">
        <w:rPr>
          <w:rFonts w:ascii="Times New Roman" w:eastAsia="宋体" w:hAnsi="Times New Roman" w:cs="Times New Roman"/>
          <w:kern w:val="0"/>
          <w:sz w:val="20"/>
          <w:szCs w:val="20"/>
        </w:rPr>
        <w:t>“iab-Support” indication</w:t>
      </w:r>
      <w:r>
        <w:rPr>
          <w:rFonts w:ascii="Times New Roman" w:eastAsia="宋体" w:hAnsi="Times New Roman" w:cs="Times New Roman"/>
          <w:kern w:val="0"/>
          <w:sz w:val="20"/>
          <w:szCs w:val="20"/>
        </w:rPr>
        <w:t xml:space="preserve"> is only applied for IAB-node integration procedure, it needs to avoid that a source IAB-donor-CU to configure measurement to an IAB-node with a potential cell belonging to a mobile IAB-node, and the source IAB-donor-CU to trigger handover of the IAB-node to the mobile IAB-node cell. Therefore, the </w:t>
      </w:r>
      <w:r w:rsidRPr="00E01663">
        <w:rPr>
          <w:rFonts w:ascii="Times New Roman" w:eastAsia="宋体" w:hAnsi="Times New Roman" w:cs="Times New Roman"/>
          <w:kern w:val="0"/>
          <w:sz w:val="20"/>
          <w:szCs w:val="20"/>
        </w:rPr>
        <w:t xml:space="preserve">source </w:t>
      </w:r>
      <w:r>
        <w:rPr>
          <w:rFonts w:ascii="Times New Roman" w:eastAsia="宋体" w:hAnsi="Times New Roman" w:cs="Times New Roman"/>
          <w:kern w:val="0"/>
          <w:sz w:val="20"/>
          <w:szCs w:val="20"/>
        </w:rPr>
        <w:t>IAB-donor-</w:t>
      </w:r>
      <w:r w:rsidRPr="00E01663">
        <w:rPr>
          <w:rFonts w:ascii="Times New Roman" w:eastAsia="宋体" w:hAnsi="Times New Roman" w:cs="Times New Roman"/>
          <w:kern w:val="0"/>
          <w:sz w:val="20"/>
          <w:szCs w:val="20"/>
        </w:rPr>
        <w:t xml:space="preserve">CU of a </w:t>
      </w:r>
      <w:r>
        <w:rPr>
          <w:rFonts w:ascii="Times New Roman" w:eastAsia="宋体" w:hAnsi="Times New Roman" w:cs="Times New Roman"/>
          <w:kern w:val="0"/>
          <w:sz w:val="20"/>
          <w:szCs w:val="20"/>
        </w:rPr>
        <w:t xml:space="preserve">fixed </w:t>
      </w:r>
      <w:r w:rsidRPr="00E01663">
        <w:rPr>
          <w:rFonts w:ascii="Times New Roman" w:eastAsia="宋体" w:hAnsi="Times New Roman" w:cs="Times New Roman"/>
          <w:kern w:val="0"/>
          <w:sz w:val="20"/>
          <w:szCs w:val="20"/>
        </w:rPr>
        <w:t xml:space="preserve">IAB-node should </w:t>
      </w:r>
      <w:r>
        <w:rPr>
          <w:rFonts w:ascii="Times New Roman" w:eastAsia="宋体" w:hAnsi="Times New Roman" w:cs="Times New Roman"/>
          <w:kern w:val="0"/>
          <w:sz w:val="20"/>
          <w:szCs w:val="20"/>
        </w:rPr>
        <w:t>be aware of</w:t>
      </w:r>
      <w:r w:rsidRPr="00E01663">
        <w:rPr>
          <w:rFonts w:ascii="Times New Roman" w:eastAsia="宋体" w:hAnsi="Times New Roman" w:cs="Times New Roman"/>
          <w:kern w:val="0"/>
          <w:sz w:val="20"/>
          <w:szCs w:val="20"/>
        </w:rPr>
        <w:t xml:space="preserve"> whether the </w:t>
      </w:r>
      <w:r>
        <w:rPr>
          <w:rFonts w:ascii="Times New Roman" w:eastAsia="宋体" w:hAnsi="Times New Roman" w:cs="Times New Roman"/>
          <w:kern w:val="0"/>
          <w:sz w:val="20"/>
          <w:szCs w:val="20"/>
        </w:rPr>
        <w:t xml:space="preserve">potential </w:t>
      </w:r>
      <w:r w:rsidRPr="00E01663">
        <w:rPr>
          <w:rFonts w:ascii="Times New Roman" w:eastAsia="宋体" w:hAnsi="Times New Roman" w:cs="Times New Roman"/>
          <w:kern w:val="0"/>
          <w:sz w:val="20"/>
          <w:szCs w:val="20"/>
        </w:rPr>
        <w:t>target cell belong</w:t>
      </w:r>
      <w:r>
        <w:rPr>
          <w:rFonts w:ascii="Times New Roman" w:eastAsia="宋体" w:hAnsi="Times New Roman" w:cs="Times New Roman"/>
          <w:kern w:val="0"/>
          <w:sz w:val="20"/>
          <w:szCs w:val="20"/>
        </w:rPr>
        <w:t>s</w:t>
      </w:r>
      <w:r w:rsidRPr="00E01663">
        <w:rPr>
          <w:rFonts w:ascii="Times New Roman" w:eastAsia="宋体" w:hAnsi="Times New Roman" w:cs="Times New Roman"/>
          <w:kern w:val="0"/>
          <w:sz w:val="20"/>
          <w:szCs w:val="20"/>
        </w:rPr>
        <w:t xml:space="preserve"> to a mobile IAB-node.</w:t>
      </w:r>
    </w:p>
    <w:p w14:paraId="3EA15613" w14:textId="59683503" w:rsidR="00692D0D" w:rsidRDefault="00327596" w:rsidP="002D414F">
      <w:pPr>
        <w:pStyle w:val="af3"/>
        <w:spacing w:before="0" w:beforeAutospacing="0" w:after="120" w:afterAutospacing="0"/>
        <w:jc w:val="both"/>
        <w:rPr>
          <w:rFonts w:ascii="Times New Roman" w:hAnsi="Times New Roman" w:cs="Times New Roman"/>
          <w:b/>
          <w:bCs/>
          <w:sz w:val="20"/>
          <w:szCs w:val="20"/>
        </w:rPr>
      </w:pPr>
      <w:bookmarkStart w:id="4" w:name="OLE_LINK14"/>
      <w:r w:rsidRPr="00AC00B6">
        <w:rPr>
          <w:rFonts w:ascii="Times New Roman" w:hAnsi="Times New Roman" w:cs="Times New Roman"/>
          <w:b/>
          <w:bCs/>
          <w:sz w:val="20"/>
          <w:szCs w:val="20"/>
        </w:rPr>
        <w:t xml:space="preserve">Proposal </w:t>
      </w:r>
      <w:r w:rsidR="00E00335">
        <w:rPr>
          <w:rFonts w:ascii="Times New Roman" w:hAnsi="Times New Roman" w:cs="Times New Roman"/>
          <w:b/>
          <w:bCs/>
          <w:sz w:val="20"/>
          <w:szCs w:val="20"/>
        </w:rPr>
        <w:t>7</w:t>
      </w:r>
      <w:r w:rsidRPr="00AC00B6">
        <w:rPr>
          <w:rFonts w:ascii="Times New Roman" w:hAnsi="Times New Roman" w:cs="Times New Roman"/>
          <w:b/>
          <w:bCs/>
          <w:sz w:val="20"/>
          <w:szCs w:val="20"/>
        </w:rPr>
        <w:t xml:space="preserve">: </w:t>
      </w:r>
      <w:r>
        <w:rPr>
          <w:rFonts w:ascii="Times New Roman" w:hAnsi="Times New Roman" w:cs="Times New Roman"/>
          <w:b/>
          <w:bCs/>
          <w:sz w:val="20"/>
          <w:szCs w:val="20"/>
        </w:rPr>
        <w:t>S</w:t>
      </w:r>
      <w:r w:rsidRPr="00AC00B6">
        <w:rPr>
          <w:rFonts w:ascii="Times New Roman" w:hAnsi="Times New Roman" w:cs="Times New Roman"/>
          <w:b/>
          <w:bCs/>
          <w:sz w:val="20"/>
          <w:szCs w:val="20"/>
        </w:rPr>
        <w:t xml:space="preserve">ource </w:t>
      </w:r>
      <w:r>
        <w:rPr>
          <w:rFonts w:ascii="Times New Roman" w:hAnsi="Times New Roman" w:cs="Times New Roman"/>
          <w:b/>
          <w:bCs/>
          <w:sz w:val="20"/>
          <w:szCs w:val="20"/>
        </w:rPr>
        <w:t>IAB-donor-</w:t>
      </w:r>
      <w:r w:rsidRPr="00AC00B6">
        <w:rPr>
          <w:rFonts w:ascii="Times New Roman" w:hAnsi="Times New Roman" w:cs="Times New Roman"/>
          <w:b/>
          <w:bCs/>
          <w:sz w:val="20"/>
          <w:szCs w:val="20"/>
        </w:rPr>
        <w:t>CU of a</w:t>
      </w:r>
      <w:r>
        <w:rPr>
          <w:rFonts w:ascii="Times New Roman" w:hAnsi="Times New Roman" w:cs="Times New Roman"/>
          <w:b/>
          <w:bCs/>
          <w:sz w:val="20"/>
          <w:szCs w:val="20"/>
        </w:rPr>
        <w:t xml:space="preserve"> fixed</w:t>
      </w:r>
      <w:r w:rsidRPr="00AC00B6">
        <w:rPr>
          <w:rFonts w:ascii="Times New Roman" w:hAnsi="Times New Roman" w:cs="Times New Roman"/>
          <w:b/>
          <w:bCs/>
          <w:sz w:val="20"/>
          <w:szCs w:val="20"/>
        </w:rPr>
        <w:t xml:space="preserve"> IAB-node should </w:t>
      </w:r>
      <w:r>
        <w:rPr>
          <w:rFonts w:ascii="Times New Roman" w:hAnsi="Times New Roman" w:cs="Times New Roman"/>
          <w:b/>
          <w:bCs/>
          <w:sz w:val="20"/>
          <w:szCs w:val="20"/>
        </w:rPr>
        <w:t>be aware of</w:t>
      </w:r>
      <w:r w:rsidRPr="00AC00B6">
        <w:rPr>
          <w:rFonts w:ascii="Times New Roman" w:hAnsi="Times New Roman" w:cs="Times New Roman"/>
          <w:b/>
          <w:bCs/>
          <w:sz w:val="20"/>
          <w:szCs w:val="20"/>
        </w:rPr>
        <w:t xml:space="preserve"> whether the </w:t>
      </w:r>
      <w:r>
        <w:rPr>
          <w:rFonts w:ascii="Times New Roman" w:hAnsi="Times New Roman" w:cs="Times New Roman"/>
          <w:b/>
          <w:bCs/>
          <w:sz w:val="20"/>
          <w:szCs w:val="20"/>
        </w:rPr>
        <w:t xml:space="preserve">potential </w:t>
      </w:r>
      <w:r w:rsidRPr="00AC00B6">
        <w:rPr>
          <w:rFonts w:ascii="Times New Roman" w:hAnsi="Times New Roman" w:cs="Times New Roman" w:hint="eastAsia"/>
          <w:b/>
          <w:bCs/>
          <w:sz w:val="20"/>
          <w:szCs w:val="20"/>
        </w:rPr>
        <w:t>target cell belong</w:t>
      </w:r>
      <w:r>
        <w:rPr>
          <w:rFonts w:ascii="Times New Roman" w:hAnsi="Times New Roman" w:cs="Times New Roman"/>
          <w:b/>
          <w:bCs/>
          <w:sz w:val="20"/>
          <w:szCs w:val="20"/>
        </w:rPr>
        <w:t>s</w:t>
      </w:r>
      <w:r w:rsidRPr="00AC00B6">
        <w:rPr>
          <w:rFonts w:ascii="Times New Roman" w:hAnsi="Times New Roman" w:cs="Times New Roman" w:hint="eastAsia"/>
          <w:b/>
          <w:bCs/>
          <w:sz w:val="20"/>
          <w:szCs w:val="20"/>
        </w:rPr>
        <w:t xml:space="preserve"> to a mobile IAB-node</w:t>
      </w:r>
      <w:r w:rsidRPr="00AC00B6">
        <w:rPr>
          <w:rFonts w:ascii="Times New Roman" w:hAnsi="Times New Roman" w:cs="Times New Roman"/>
          <w:b/>
          <w:bCs/>
          <w:sz w:val="20"/>
          <w:szCs w:val="20"/>
        </w:rPr>
        <w:t>.</w:t>
      </w:r>
      <w:bookmarkEnd w:id="4"/>
    </w:p>
    <w:p w14:paraId="7A1DA3AD" w14:textId="77777777" w:rsidR="00AA3FAE" w:rsidRPr="00AA3FAE" w:rsidRDefault="00AA3FAE" w:rsidP="00AA3FA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GB"/>
        </w:rPr>
      </w:pPr>
      <w:r w:rsidRPr="00AA3FAE">
        <w:rPr>
          <w:rFonts w:ascii="Arial" w:eastAsia="宋体" w:hAnsi="Arial" w:cs="Times New Roman"/>
          <w:kern w:val="0"/>
          <w:sz w:val="36"/>
          <w:szCs w:val="36"/>
          <w:lang w:val="en-GB"/>
        </w:rPr>
        <w:lastRenderedPageBreak/>
        <w:t>Conclusion</w:t>
      </w:r>
    </w:p>
    <w:p w14:paraId="5E1D131E" w14:textId="78E257A4"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 xml:space="preserve">is contribution aims to </w:t>
      </w:r>
      <w:r w:rsidR="00AC214F">
        <w:rPr>
          <w:rFonts w:ascii="Times New Roman" w:eastAsia="宋体" w:hAnsi="Times New Roman" w:cs="Times New Roman"/>
          <w:kern w:val="0"/>
          <w:sz w:val="20"/>
          <w:szCs w:val="20"/>
        </w:rPr>
        <w:t xml:space="preserve">discuss </w:t>
      </w:r>
      <w:r w:rsidR="00AC214F">
        <w:rPr>
          <w:rFonts w:ascii="Times New Roman" w:eastAsia="宋体" w:hAnsi="Times New Roman" w:cs="Times New Roman" w:hint="eastAsia"/>
          <w:kern w:val="0"/>
          <w:sz w:val="20"/>
          <w:szCs w:val="20"/>
        </w:rPr>
        <w:t>e</w:t>
      </w:r>
      <w:r w:rsidR="00AC214F" w:rsidRPr="00853907">
        <w:rPr>
          <w:rFonts w:ascii="Times New Roman" w:eastAsia="宋体" w:hAnsi="Times New Roman" w:cs="Times New Roman"/>
          <w:kern w:val="0"/>
          <w:sz w:val="20"/>
          <w:szCs w:val="20"/>
        </w:rPr>
        <w:t>nhancements for mobility of an IAB-node together with its served UEs</w:t>
      </w:r>
      <w:r w:rsidR="00F862F2">
        <w:rPr>
          <w:rFonts w:ascii="Times New Roman" w:eastAsia="宋体" w:hAnsi="Times New Roman" w:cs="Times New Roman"/>
          <w:kern w:val="0"/>
          <w:sz w:val="20"/>
          <w:szCs w:val="20"/>
        </w:rPr>
        <w:t>. And following observations and proposals are concluded.</w:t>
      </w:r>
    </w:p>
    <w:p w14:paraId="70FEED52" w14:textId="77777777" w:rsidR="00A01590" w:rsidRPr="003B0384" w:rsidRDefault="00A01590" w:rsidP="00A01590">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3B0384">
        <w:rPr>
          <w:rFonts w:ascii="Times New Roman" w:eastAsia="宋体" w:hAnsi="Times New Roman" w:cs="Times New Roman" w:hint="eastAsia"/>
          <w:b/>
          <w:bCs/>
          <w:kern w:val="0"/>
          <w:sz w:val="20"/>
          <w:szCs w:val="20"/>
        </w:rPr>
        <w:t>P</w:t>
      </w:r>
      <w:r w:rsidRPr="003B0384">
        <w:rPr>
          <w:rFonts w:ascii="Times New Roman" w:eastAsia="宋体" w:hAnsi="Times New Roman" w:cs="Times New Roman"/>
          <w:b/>
          <w:bCs/>
          <w:kern w:val="0"/>
          <w:sz w:val="20"/>
          <w:szCs w:val="20"/>
        </w:rPr>
        <w:t xml:space="preserve">roposal 1: </w:t>
      </w:r>
      <w:r>
        <w:rPr>
          <w:rFonts w:ascii="Times New Roman" w:eastAsia="宋体" w:hAnsi="Times New Roman" w:cs="Times New Roman"/>
          <w:b/>
          <w:bCs/>
          <w:kern w:val="0"/>
          <w:sz w:val="20"/>
          <w:szCs w:val="20"/>
        </w:rPr>
        <w:t>Legacy CHO procedure can be reused by the served UEs of mobile IAB-node, and source IAB-DU powers down the cells by implementation to trigger the CHO.</w:t>
      </w:r>
    </w:p>
    <w:p w14:paraId="7EE35966" w14:textId="77777777" w:rsidR="00A01590" w:rsidRPr="005866B1" w:rsidRDefault="00A01590" w:rsidP="00A01590">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5866B1">
        <w:rPr>
          <w:rFonts w:ascii="Times New Roman" w:eastAsia="宋体" w:hAnsi="Times New Roman" w:cs="Times New Roman"/>
          <w:b/>
          <w:bCs/>
          <w:kern w:val="0"/>
          <w:sz w:val="20"/>
          <w:szCs w:val="20"/>
        </w:rPr>
        <w:t>Proposal 2: Support RACH-less HO for the served UEs during mIAB-DU migration.</w:t>
      </w:r>
    </w:p>
    <w:p w14:paraId="72E98C92" w14:textId="5BCEBA28" w:rsidR="00A01590" w:rsidRPr="00EB583A" w:rsidRDefault="00A01590" w:rsidP="00A01590">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EB583A">
        <w:rPr>
          <w:rFonts w:ascii="Times New Roman" w:eastAsia="宋体" w:hAnsi="Times New Roman" w:cs="Times New Roman"/>
          <w:b/>
          <w:bCs/>
          <w:kern w:val="0"/>
          <w:sz w:val="20"/>
          <w:szCs w:val="20"/>
        </w:rPr>
        <w:t>Proposal 3: LTE approach of confirming the HO completion is reused for both pre-allocated grant and dynamic grant</w:t>
      </w:r>
      <w:r>
        <w:rPr>
          <w:rFonts w:ascii="Times New Roman" w:eastAsia="宋体" w:hAnsi="Times New Roman" w:cs="Times New Roman"/>
          <w:b/>
          <w:bCs/>
          <w:kern w:val="0"/>
          <w:sz w:val="20"/>
          <w:szCs w:val="20"/>
        </w:rPr>
        <w:t xml:space="preserve"> as baseline</w:t>
      </w:r>
      <w:r w:rsidR="00BC23A2">
        <w:rPr>
          <w:rFonts w:ascii="Times New Roman" w:eastAsia="宋体" w:hAnsi="Times New Roman" w:cs="Times New Roman"/>
          <w:b/>
          <w:bCs/>
          <w:kern w:val="0"/>
          <w:sz w:val="20"/>
          <w:szCs w:val="20"/>
        </w:rPr>
        <w:t xml:space="preserve">, where </w:t>
      </w:r>
      <w:r w:rsidRPr="00EB583A">
        <w:rPr>
          <w:rFonts w:ascii="Times New Roman" w:eastAsia="宋体" w:hAnsi="Times New Roman" w:cs="Times New Roman"/>
          <w:b/>
          <w:bCs/>
          <w:kern w:val="0"/>
          <w:sz w:val="20"/>
          <w:szCs w:val="20"/>
        </w:rPr>
        <w:t>NW sends the UE Contention Resolution Identity MAC CE to UE,</w:t>
      </w:r>
      <w:r>
        <w:rPr>
          <w:rFonts w:ascii="Times New Roman" w:eastAsia="宋体" w:hAnsi="Times New Roman" w:cs="Times New Roman"/>
          <w:b/>
          <w:bCs/>
          <w:kern w:val="0"/>
          <w:sz w:val="20"/>
          <w:szCs w:val="20"/>
        </w:rPr>
        <w:t xml:space="preserve"> but </w:t>
      </w:r>
      <w:r w:rsidRPr="00EB583A">
        <w:rPr>
          <w:rFonts w:ascii="Times New Roman" w:eastAsia="宋体" w:hAnsi="Times New Roman" w:cs="Times New Roman"/>
          <w:b/>
          <w:bCs/>
          <w:kern w:val="0"/>
          <w:sz w:val="20"/>
          <w:szCs w:val="20"/>
        </w:rPr>
        <w:t>UE ignores the content of this field.</w:t>
      </w:r>
    </w:p>
    <w:p w14:paraId="04C2BA40" w14:textId="77777777" w:rsidR="00A01590" w:rsidRPr="00F1543A" w:rsidRDefault="00A01590" w:rsidP="00A01590">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F1543A">
        <w:rPr>
          <w:rFonts w:ascii="Times New Roman" w:eastAsia="宋体" w:hAnsi="Times New Roman" w:cs="Times New Roman"/>
          <w:b/>
          <w:bCs/>
          <w:kern w:val="0"/>
          <w:sz w:val="20"/>
          <w:szCs w:val="20"/>
        </w:rPr>
        <w:t>Proposal 4: For handle RACH-less HO failure, UE will initiate RRC re-establishment procedure when T304 expiries.</w:t>
      </w:r>
    </w:p>
    <w:p w14:paraId="3D6FCA72" w14:textId="77777777" w:rsidR="00A01590" w:rsidRDefault="00A01590" w:rsidP="00A01590">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F612F9">
        <w:rPr>
          <w:rFonts w:ascii="Times New Roman" w:eastAsia="宋体" w:hAnsi="Times New Roman" w:cs="Times New Roman" w:hint="eastAsia"/>
          <w:b/>
          <w:bCs/>
          <w:kern w:val="0"/>
          <w:sz w:val="20"/>
          <w:szCs w:val="20"/>
        </w:rPr>
        <w:t>P</w:t>
      </w:r>
      <w:r w:rsidRPr="00F612F9">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5</w:t>
      </w:r>
      <w:r w:rsidRPr="00F612F9">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In case of UE handover during IAB-DU migration, to include o</w:t>
      </w:r>
      <w:r w:rsidRPr="00F612F9">
        <w:rPr>
          <w:rFonts w:ascii="Times New Roman" w:eastAsia="宋体" w:hAnsi="Times New Roman" w:cs="Times New Roman"/>
          <w:b/>
          <w:bCs/>
          <w:kern w:val="0"/>
          <w:sz w:val="20"/>
          <w:szCs w:val="20"/>
        </w:rPr>
        <w:t xml:space="preserve">n-board/surrounding </w:t>
      </w:r>
      <w:r w:rsidRPr="0002183F">
        <w:rPr>
          <w:rFonts w:ascii="Times New Roman" w:eastAsia="宋体" w:hAnsi="Times New Roman" w:cs="Times New Roman"/>
          <w:b/>
          <w:bCs/>
          <w:kern w:val="0"/>
          <w:sz w:val="20"/>
          <w:szCs w:val="20"/>
        </w:rPr>
        <w:t xml:space="preserve">status </w:t>
      </w:r>
      <w:r w:rsidRPr="00F612F9">
        <w:rPr>
          <w:rFonts w:ascii="Times New Roman" w:eastAsia="宋体" w:hAnsi="Times New Roman" w:cs="Times New Roman"/>
          <w:b/>
          <w:bCs/>
          <w:kern w:val="0"/>
          <w:sz w:val="20"/>
          <w:szCs w:val="20"/>
        </w:rPr>
        <w:t>of UE in the handover request message.</w:t>
      </w:r>
    </w:p>
    <w:p w14:paraId="04B63CCD" w14:textId="77777777" w:rsidR="00A01590" w:rsidRDefault="00A01590" w:rsidP="00A01590">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02183F">
        <w:rPr>
          <w:rFonts w:ascii="Times New Roman" w:eastAsia="宋体" w:hAnsi="Times New Roman" w:cs="Times New Roman"/>
          <w:b/>
          <w:bCs/>
          <w:kern w:val="0"/>
          <w:sz w:val="20"/>
          <w:szCs w:val="20"/>
        </w:rPr>
        <w:t xml:space="preserve">Proposal </w:t>
      </w:r>
      <w:r>
        <w:rPr>
          <w:rFonts w:ascii="Times New Roman" w:eastAsia="宋体" w:hAnsi="Times New Roman" w:cs="Times New Roman"/>
          <w:b/>
          <w:bCs/>
          <w:kern w:val="0"/>
          <w:sz w:val="20"/>
          <w:szCs w:val="20"/>
        </w:rPr>
        <w:t>6</w:t>
      </w:r>
      <w:r w:rsidRPr="0002183F">
        <w:rPr>
          <w:rFonts w:ascii="Times New Roman" w:eastAsia="宋体" w:hAnsi="Times New Roman" w:cs="Times New Roman"/>
          <w:b/>
          <w:bCs/>
          <w:kern w:val="0"/>
          <w:sz w:val="20"/>
          <w:szCs w:val="20"/>
        </w:rPr>
        <w:t xml:space="preserve">: UE reports its onboard/surrounding status to </w:t>
      </w:r>
      <w:r>
        <w:rPr>
          <w:rFonts w:ascii="Times New Roman" w:eastAsia="宋体" w:hAnsi="Times New Roman" w:cs="Times New Roman"/>
          <w:b/>
          <w:bCs/>
          <w:kern w:val="0"/>
          <w:sz w:val="20"/>
          <w:szCs w:val="20"/>
        </w:rPr>
        <w:t>IAB-donor</w:t>
      </w:r>
      <w:r w:rsidRPr="0002183F">
        <w:rPr>
          <w:rFonts w:ascii="Times New Roman" w:eastAsia="宋体" w:hAnsi="Times New Roman" w:cs="Times New Roman"/>
          <w:b/>
          <w:bCs/>
          <w:kern w:val="0"/>
          <w:sz w:val="20"/>
          <w:szCs w:val="20"/>
        </w:rPr>
        <w:t xml:space="preserve"> once it determine</w:t>
      </w:r>
      <w:r>
        <w:rPr>
          <w:rFonts w:ascii="Times New Roman" w:eastAsia="宋体" w:hAnsi="Times New Roman" w:cs="Times New Roman"/>
          <w:b/>
          <w:bCs/>
          <w:kern w:val="0"/>
          <w:sz w:val="20"/>
          <w:szCs w:val="20"/>
        </w:rPr>
        <w:t>s</w:t>
      </w:r>
      <w:r w:rsidRPr="0002183F">
        <w:rPr>
          <w:rFonts w:ascii="Times New Roman" w:eastAsia="宋体" w:hAnsi="Times New Roman" w:cs="Times New Roman"/>
          <w:b/>
          <w:bCs/>
          <w:kern w:val="0"/>
          <w:sz w:val="20"/>
          <w:szCs w:val="20"/>
        </w:rPr>
        <w:t xml:space="preserve"> the status or change</w:t>
      </w:r>
      <w:r>
        <w:rPr>
          <w:rFonts w:ascii="Times New Roman" w:eastAsia="宋体" w:hAnsi="Times New Roman" w:cs="Times New Roman"/>
          <w:b/>
          <w:bCs/>
          <w:kern w:val="0"/>
          <w:sz w:val="20"/>
          <w:szCs w:val="20"/>
        </w:rPr>
        <w:t>s</w:t>
      </w:r>
      <w:r w:rsidRPr="0002183F">
        <w:rPr>
          <w:rFonts w:ascii="Times New Roman" w:eastAsia="宋体" w:hAnsi="Times New Roman" w:cs="Times New Roman"/>
          <w:b/>
          <w:bCs/>
          <w:kern w:val="0"/>
          <w:sz w:val="20"/>
          <w:szCs w:val="20"/>
        </w:rPr>
        <w:t xml:space="preserve"> the status.</w:t>
      </w:r>
    </w:p>
    <w:p w14:paraId="5E473F97" w14:textId="28EBA2C9" w:rsidR="00A01590" w:rsidRDefault="00A01590" w:rsidP="00A01590">
      <w:pPr>
        <w:pStyle w:val="af3"/>
        <w:spacing w:before="0" w:beforeAutospacing="0" w:after="120" w:afterAutospacing="0"/>
        <w:jc w:val="both"/>
        <w:rPr>
          <w:rFonts w:ascii="Times New Roman" w:hAnsi="Times New Roman" w:cs="Times New Roman"/>
          <w:b/>
          <w:bCs/>
          <w:sz w:val="20"/>
          <w:szCs w:val="20"/>
        </w:rPr>
      </w:pPr>
      <w:r w:rsidRPr="00AC00B6">
        <w:rPr>
          <w:rFonts w:ascii="Times New Roman" w:hAnsi="Times New Roman" w:cs="Times New Roman"/>
          <w:b/>
          <w:bCs/>
          <w:sz w:val="20"/>
          <w:szCs w:val="20"/>
        </w:rPr>
        <w:t xml:space="preserve">Proposal </w:t>
      </w:r>
      <w:r>
        <w:rPr>
          <w:rFonts w:ascii="Times New Roman" w:hAnsi="Times New Roman" w:cs="Times New Roman"/>
          <w:b/>
          <w:bCs/>
          <w:sz w:val="20"/>
          <w:szCs w:val="20"/>
        </w:rPr>
        <w:t>7</w:t>
      </w:r>
      <w:r w:rsidRPr="00AC00B6">
        <w:rPr>
          <w:rFonts w:ascii="Times New Roman" w:hAnsi="Times New Roman" w:cs="Times New Roman"/>
          <w:b/>
          <w:bCs/>
          <w:sz w:val="20"/>
          <w:szCs w:val="20"/>
        </w:rPr>
        <w:t xml:space="preserve">: </w:t>
      </w:r>
      <w:r>
        <w:rPr>
          <w:rFonts w:ascii="Times New Roman" w:hAnsi="Times New Roman" w:cs="Times New Roman"/>
          <w:b/>
          <w:bCs/>
          <w:sz w:val="20"/>
          <w:szCs w:val="20"/>
        </w:rPr>
        <w:t>S</w:t>
      </w:r>
      <w:r w:rsidRPr="00AC00B6">
        <w:rPr>
          <w:rFonts w:ascii="Times New Roman" w:hAnsi="Times New Roman" w:cs="Times New Roman"/>
          <w:b/>
          <w:bCs/>
          <w:sz w:val="20"/>
          <w:szCs w:val="20"/>
        </w:rPr>
        <w:t xml:space="preserve">ource </w:t>
      </w:r>
      <w:r>
        <w:rPr>
          <w:rFonts w:ascii="Times New Roman" w:hAnsi="Times New Roman" w:cs="Times New Roman"/>
          <w:b/>
          <w:bCs/>
          <w:sz w:val="20"/>
          <w:szCs w:val="20"/>
        </w:rPr>
        <w:t>IAB-donor-</w:t>
      </w:r>
      <w:r w:rsidRPr="00AC00B6">
        <w:rPr>
          <w:rFonts w:ascii="Times New Roman" w:hAnsi="Times New Roman" w:cs="Times New Roman"/>
          <w:b/>
          <w:bCs/>
          <w:sz w:val="20"/>
          <w:szCs w:val="20"/>
        </w:rPr>
        <w:t>CU of a</w:t>
      </w:r>
      <w:r>
        <w:rPr>
          <w:rFonts w:ascii="Times New Roman" w:hAnsi="Times New Roman" w:cs="Times New Roman"/>
          <w:b/>
          <w:bCs/>
          <w:sz w:val="20"/>
          <w:szCs w:val="20"/>
        </w:rPr>
        <w:t xml:space="preserve"> fixed</w:t>
      </w:r>
      <w:r w:rsidRPr="00AC00B6">
        <w:rPr>
          <w:rFonts w:ascii="Times New Roman" w:hAnsi="Times New Roman" w:cs="Times New Roman"/>
          <w:b/>
          <w:bCs/>
          <w:sz w:val="20"/>
          <w:szCs w:val="20"/>
        </w:rPr>
        <w:t xml:space="preserve"> IAB-node should </w:t>
      </w:r>
      <w:r>
        <w:rPr>
          <w:rFonts w:ascii="Times New Roman" w:hAnsi="Times New Roman" w:cs="Times New Roman"/>
          <w:b/>
          <w:bCs/>
          <w:sz w:val="20"/>
          <w:szCs w:val="20"/>
        </w:rPr>
        <w:t>be aware of</w:t>
      </w:r>
      <w:r w:rsidRPr="00AC00B6">
        <w:rPr>
          <w:rFonts w:ascii="Times New Roman" w:hAnsi="Times New Roman" w:cs="Times New Roman"/>
          <w:b/>
          <w:bCs/>
          <w:sz w:val="20"/>
          <w:szCs w:val="20"/>
        </w:rPr>
        <w:t xml:space="preserve"> whether the </w:t>
      </w:r>
      <w:r>
        <w:rPr>
          <w:rFonts w:ascii="Times New Roman" w:hAnsi="Times New Roman" w:cs="Times New Roman"/>
          <w:b/>
          <w:bCs/>
          <w:sz w:val="20"/>
          <w:szCs w:val="20"/>
        </w:rPr>
        <w:t xml:space="preserve">potential </w:t>
      </w:r>
      <w:r w:rsidRPr="00AC00B6">
        <w:rPr>
          <w:rFonts w:ascii="Times New Roman" w:hAnsi="Times New Roman" w:cs="Times New Roman" w:hint="eastAsia"/>
          <w:b/>
          <w:bCs/>
          <w:sz w:val="20"/>
          <w:szCs w:val="20"/>
        </w:rPr>
        <w:t>target cell belong</w:t>
      </w:r>
      <w:r>
        <w:rPr>
          <w:rFonts w:ascii="Times New Roman" w:hAnsi="Times New Roman" w:cs="Times New Roman"/>
          <w:b/>
          <w:bCs/>
          <w:sz w:val="20"/>
          <w:szCs w:val="20"/>
        </w:rPr>
        <w:t>s</w:t>
      </w:r>
      <w:r w:rsidRPr="00AC00B6">
        <w:rPr>
          <w:rFonts w:ascii="Times New Roman" w:hAnsi="Times New Roman" w:cs="Times New Roman" w:hint="eastAsia"/>
          <w:b/>
          <w:bCs/>
          <w:sz w:val="20"/>
          <w:szCs w:val="20"/>
        </w:rPr>
        <w:t xml:space="preserve"> to a mobile IAB-node</w:t>
      </w:r>
      <w:r w:rsidRPr="00AC00B6">
        <w:rPr>
          <w:rFonts w:ascii="Times New Roman" w:hAnsi="Times New Roman" w:cs="Times New Roman"/>
          <w:b/>
          <w:bCs/>
          <w:sz w:val="20"/>
          <w:szCs w:val="20"/>
        </w:rPr>
        <w:t>.</w:t>
      </w:r>
      <w:r w:rsidR="00371CD4">
        <w:rPr>
          <w:rFonts w:ascii="Times New Roman" w:hAnsi="Times New Roman" w:cs="Times New Roman"/>
          <w:b/>
          <w:bCs/>
          <w:sz w:val="20"/>
          <w:szCs w:val="20"/>
        </w:rPr>
        <w:t xml:space="preserve"> </w:t>
      </w:r>
    </w:p>
    <w:p w14:paraId="1C734CA1" w14:textId="77777777"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t>Reference</w:t>
      </w:r>
    </w:p>
    <w:bookmarkEnd w:id="0"/>
    <w:bookmarkEnd w:id="1"/>
    <w:p w14:paraId="3244BFD7" w14:textId="155EF38F" w:rsidR="00C07627" w:rsidRDefault="00C07627" w:rsidP="00C07627">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 xml:space="preserve">RP-222671. Revised WID for NR_mobile_IAB. </w:t>
      </w:r>
    </w:p>
    <w:p w14:paraId="7E72C195" w14:textId="5A5CB80D" w:rsidR="003E0958" w:rsidRPr="00F838A4" w:rsidRDefault="009762FC" w:rsidP="00A60CDE">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hint="eastAsia"/>
          <w:kern w:val="0"/>
          <w:sz w:val="20"/>
          <w:lang w:val="x-none"/>
        </w:rPr>
        <w:t>C</w:t>
      </w:r>
      <w:r>
        <w:rPr>
          <w:rFonts w:ascii="Times New Roman" w:eastAsia="宋体" w:hAnsi="Times New Roman" w:cs="Times New Roman"/>
          <w:kern w:val="0"/>
          <w:sz w:val="20"/>
          <w:lang w:val="x-none"/>
        </w:rPr>
        <w:t>hairman notes of RAN2 119</w:t>
      </w:r>
      <w:r w:rsidR="000B6282">
        <w:rPr>
          <w:rFonts w:ascii="Times New Roman" w:eastAsia="宋体" w:hAnsi="Times New Roman" w:cs="Times New Roman"/>
          <w:kern w:val="0"/>
          <w:sz w:val="20"/>
          <w:lang w:val="x-none"/>
        </w:rPr>
        <w:t>bis</w:t>
      </w:r>
      <w:r>
        <w:rPr>
          <w:rFonts w:ascii="Times New Roman" w:eastAsia="宋体" w:hAnsi="Times New Roman" w:cs="Times New Roman"/>
          <w:kern w:val="0"/>
          <w:sz w:val="20"/>
          <w:lang w:val="x-none"/>
        </w:rPr>
        <w:t>-e</w:t>
      </w:r>
      <w:r w:rsidR="00D03534">
        <w:rPr>
          <w:rFonts w:ascii="Times New Roman" w:eastAsia="宋体" w:hAnsi="Times New Roman" w:cs="Times New Roman"/>
          <w:kern w:val="0"/>
          <w:sz w:val="20"/>
          <w:lang w:val="x-none"/>
        </w:rPr>
        <w:t xml:space="preserve"> </w:t>
      </w:r>
      <w:r w:rsidR="00A9004F">
        <w:rPr>
          <w:rFonts w:ascii="Times New Roman" w:eastAsia="宋体" w:hAnsi="Times New Roman" w:cs="Times New Roman"/>
          <w:kern w:val="0"/>
          <w:sz w:val="20"/>
          <w:lang w:val="x-none"/>
        </w:rPr>
        <w:t>–</w:t>
      </w:r>
      <w:r w:rsidR="00D03534">
        <w:rPr>
          <w:rFonts w:ascii="Times New Roman" w:eastAsia="宋体" w:hAnsi="Times New Roman" w:cs="Times New Roman"/>
          <w:kern w:val="0"/>
          <w:sz w:val="20"/>
          <w:lang w:val="x-none"/>
        </w:rPr>
        <w:t xml:space="preserve"> 12</w:t>
      </w:r>
      <w:r w:rsidR="00BF080A">
        <w:rPr>
          <w:rFonts w:ascii="Times New Roman" w:eastAsia="宋体" w:hAnsi="Times New Roman" w:cs="Times New Roman"/>
          <w:kern w:val="0"/>
          <w:sz w:val="20"/>
          <w:lang w:val="x-none"/>
        </w:rPr>
        <w:t>2</w:t>
      </w:r>
      <w:r>
        <w:rPr>
          <w:rFonts w:ascii="Times New Roman" w:eastAsia="宋体" w:hAnsi="Times New Roman" w:cs="Times New Roman"/>
          <w:kern w:val="0"/>
          <w:sz w:val="20"/>
          <w:lang w:val="x-none"/>
        </w:rPr>
        <w:t xml:space="preserve"> meeting</w:t>
      </w:r>
      <w:r w:rsidR="00D03534">
        <w:rPr>
          <w:rFonts w:ascii="Times New Roman" w:eastAsia="宋体" w:hAnsi="Times New Roman" w:cs="Times New Roman"/>
          <w:kern w:val="0"/>
          <w:sz w:val="20"/>
          <w:lang w:val="x-none"/>
        </w:rPr>
        <w:t>s</w:t>
      </w:r>
      <w:r>
        <w:rPr>
          <w:rFonts w:ascii="Times New Roman" w:eastAsia="宋体" w:hAnsi="Times New Roman" w:cs="Times New Roman"/>
          <w:kern w:val="0"/>
          <w:sz w:val="20"/>
          <w:lang w:val="x-none"/>
        </w:rPr>
        <w:t>.</w:t>
      </w:r>
    </w:p>
    <w:sectPr w:rsidR="003E0958" w:rsidRPr="00F838A4"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3C72C" w14:textId="77777777" w:rsidR="00E31514" w:rsidRDefault="00E31514" w:rsidP="00AA3FAE">
      <w:r>
        <w:separator/>
      </w:r>
    </w:p>
  </w:endnote>
  <w:endnote w:type="continuationSeparator" w:id="0">
    <w:p w14:paraId="645C8449" w14:textId="77777777" w:rsidR="00E31514" w:rsidRDefault="00E31514"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Dotum">
    <w:altName w:val="Dotum"/>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1677" w14:textId="77777777" w:rsidR="00B41AA4"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08A7E" w14:textId="77777777" w:rsidR="00E31514" w:rsidRDefault="00E31514" w:rsidP="00AA3FAE">
      <w:r>
        <w:separator/>
      </w:r>
    </w:p>
  </w:footnote>
  <w:footnote w:type="continuationSeparator" w:id="0">
    <w:p w14:paraId="28D584CC" w14:textId="77777777" w:rsidR="00E31514" w:rsidRDefault="00E31514"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24677" w14:textId="77777777" w:rsidR="00B41AA4" w:rsidRDefault="00FF2385"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217E5"/>
    <w:multiLevelType w:val="hybridMultilevel"/>
    <w:tmpl w:val="AEFEBB4E"/>
    <w:lvl w:ilvl="0" w:tplc="0FE299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784D9D"/>
    <w:multiLevelType w:val="hybridMultilevel"/>
    <w:tmpl w:val="40D0D1F4"/>
    <w:lvl w:ilvl="0" w:tplc="94DC551A">
      <w:numFmt w:val="bullet"/>
      <w:lvlText w:val=""/>
      <w:lvlJc w:val="left"/>
      <w:pPr>
        <w:ind w:left="360" w:hanging="360"/>
      </w:pPr>
      <w:rPr>
        <w:rFonts w:ascii="Wingdings" w:eastAsia="宋体" w:hAnsi="Wingdings" w:cs="Times New Roman" w:hint="default"/>
        <w:b/>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4191B"/>
    <w:multiLevelType w:val="hybridMultilevel"/>
    <w:tmpl w:val="CFFEDC1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2882AE4"/>
    <w:multiLevelType w:val="hybridMultilevel"/>
    <w:tmpl w:val="FFB4620A"/>
    <w:lvl w:ilvl="0" w:tplc="B3881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9C737C"/>
    <w:multiLevelType w:val="hybridMultilevel"/>
    <w:tmpl w:val="37923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eastAsia"/>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B41DB4"/>
    <w:multiLevelType w:val="hybridMultilevel"/>
    <w:tmpl w:val="E8AEDBD2"/>
    <w:lvl w:ilvl="0" w:tplc="0409000F">
      <w:start w:val="1"/>
      <w:numFmt w:val="decimal"/>
      <w:lvlText w:val="%1."/>
      <w:lvlJc w:val="left"/>
      <w:pPr>
        <w:ind w:left="420" w:hanging="420"/>
      </w:pPr>
    </w:lvl>
    <w:lvl w:ilvl="1" w:tplc="90521740">
      <w:start w:val="1"/>
      <w:numFmt w:val="decimal"/>
      <w:lvlText w:val="%2"/>
      <w:lvlJc w:val="left"/>
      <w:pPr>
        <w:ind w:left="780" w:hanging="36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6F449F6"/>
    <w:multiLevelType w:val="hybridMultilevel"/>
    <w:tmpl w:val="45E279C4"/>
    <w:lvl w:ilvl="0" w:tplc="08090001">
      <w:start w:val="1"/>
      <w:numFmt w:val="bullet"/>
      <w:lvlText w:val=""/>
      <w:lvlJc w:val="left"/>
      <w:pPr>
        <w:ind w:left="840" w:hanging="420"/>
      </w:pPr>
      <w:rPr>
        <w:rFonts w:ascii="Symbol" w:hAnsi="Symbol"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66936A3"/>
    <w:multiLevelType w:val="hybridMultilevel"/>
    <w:tmpl w:val="B6240932"/>
    <w:lvl w:ilvl="0" w:tplc="04090011">
      <w:start w:val="1"/>
      <w:numFmt w:val="decimal"/>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28AB5369"/>
    <w:multiLevelType w:val="hybridMultilevel"/>
    <w:tmpl w:val="C8AADF34"/>
    <w:lvl w:ilvl="0" w:tplc="81760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287E82"/>
    <w:multiLevelType w:val="hybridMultilevel"/>
    <w:tmpl w:val="3312C4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3" w15:restartNumberingAfterBreak="0">
    <w:nsid w:val="39CB50B8"/>
    <w:multiLevelType w:val="hybridMultilevel"/>
    <w:tmpl w:val="F1CCA4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856923"/>
    <w:multiLevelType w:val="hybridMultilevel"/>
    <w:tmpl w:val="71BA76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0A26513"/>
    <w:multiLevelType w:val="hybridMultilevel"/>
    <w:tmpl w:val="CD90B98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A06A15"/>
    <w:multiLevelType w:val="hybridMultilevel"/>
    <w:tmpl w:val="0324F0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354A5E"/>
    <w:multiLevelType w:val="hybridMultilevel"/>
    <w:tmpl w:val="8806D4AE"/>
    <w:lvl w:ilvl="0" w:tplc="0FE2991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896"/>
        </w:tabs>
        <w:ind w:left="-896" w:hanging="360"/>
      </w:pPr>
      <w:rPr>
        <w:rFonts w:ascii="Symbol" w:hAnsi="Symbol" w:hint="default"/>
        <w:b/>
        <w:i w:val="0"/>
        <w:color w:val="auto"/>
        <w:sz w:val="22"/>
      </w:rPr>
    </w:lvl>
    <w:lvl w:ilvl="1" w:tplc="04090003">
      <w:start w:val="1"/>
      <w:numFmt w:val="bullet"/>
      <w:lvlText w:val="o"/>
      <w:lvlJc w:val="left"/>
      <w:pPr>
        <w:tabs>
          <w:tab w:val="num" w:pos="-1075"/>
        </w:tabs>
        <w:ind w:left="-1075" w:hanging="360"/>
      </w:pPr>
      <w:rPr>
        <w:rFonts w:ascii="Courier New" w:hAnsi="Courier New" w:cs="Courier New" w:hint="default"/>
      </w:rPr>
    </w:lvl>
    <w:lvl w:ilvl="2" w:tplc="04090005" w:tentative="1">
      <w:start w:val="1"/>
      <w:numFmt w:val="bullet"/>
      <w:lvlText w:val=""/>
      <w:lvlJc w:val="left"/>
      <w:pPr>
        <w:tabs>
          <w:tab w:val="num" w:pos="-355"/>
        </w:tabs>
        <w:ind w:left="-355" w:hanging="360"/>
      </w:pPr>
      <w:rPr>
        <w:rFonts w:ascii="Wingdings" w:hAnsi="Wingdings" w:hint="default"/>
      </w:rPr>
    </w:lvl>
    <w:lvl w:ilvl="3" w:tplc="04090001" w:tentative="1">
      <w:start w:val="1"/>
      <w:numFmt w:val="bullet"/>
      <w:lvlText w:val=""/>
      <w:lvlJc w:val="left"/>
      <w:pPr>
        <w:tabs>
          <w:tab w:val="num" w:pos="365"/>
        </w:tabs>
        <w:ind w:left="365" w:hanging="360"/>
      </w:pPr>
      <w:rPr>
        <w:rFonts w:ascii="Symbol" w:hAnsi="Symbol" w:hint="default"/>
      </w:rPr>
    </w:lvl>
    <w:lvl w:ilvl="4" w:tplc="04090003" w:tentative="1">
      <w:start w:val="1"/>
      <w:numFmt w:val="bullet"/>
      <w:lvlText w:val="o"/>
      <w:lvlJc w:val="left"/>
      <w:pPr>
        <w:tabs>
          <w:tab w:val="num" w:pos="1085"/>
        </w:tabs>
        <w:ind w:left="1085" w:hanging="360"/>
      </w:pPr>
      <w:rPr>
        <w:rFonts w:ascii="Courier New" w:hAnsi="Courier New" w:cs="Courier New" w:hint="default"/>
      </w:rPr>
    </w:lvl>
    <w:lvl w:ilvl="5" w:tplc="04090005" w:tentative="1">
      <w:start w:val="1"/>
      <w:numFmt w:val="bullet"/>
      <w:lvlText w:val=""/>
      <w:lvlJc w:val="left"/>
      <w:pPr>
        <w:tabs>
          <w:tab w:val="num" w:pos="1805"/>
        </w:tabs>
        <w:ind w:left="1805" w:hanging="360"/>
      </w:pPr>
      <w:rPr>
        <w:rFonts w:ascii="Wingdings" w:hAnsi="Wingdings" w:hint="default"/>
      </w:rPr>
    </w:lvl>
    <w:lvl w:ilvl="6" w:tplc="04090001" w:tentative="1">
      <w:start w:val="1"/>
      <w:numFmt w:val="bullet"/>
      <w:lvlText w:val=""/>
      <w:lvlJc w:val="left"/>
      <w:pPr>
        <w:tabs>
          <w:tab w:val="num" w:pos="2525"/>
        </w:tabs>
        <w:ind w:left="2525" w:hanging="360"/>
      </w:pPr>
      <w:rPr>
        <w:rFonts w:ascii="Symbol" w:hAnsi="Symbol" w:hint="default"/>
      </w:rPr>
    </w:lvl>
    <w:lvl w:ilvl="7" w:tplc="04090003" w:tentative="1">
      <w:start w:val="1"/>
      <w:numFmt w:val="bullet"/>
      <w:lvlText w:val="o"/>
      <w:lvlJc w:val="left"/>
      <w:pPr>
        <w:tabs>
          <w:tab w:val="num" w:pos="3245"/>
        </w:tabs>
        <w:ind w:left="3245" w:hanging="360"/>
      </w:pPr>
      <w:rPr>
        <w:rFonts w:ascii="Courier New" w:hAnsi="Courier New" w:cs="Courier New" w:hint="default"/>
      </w:rPr>
    </w:lvl>
    <w:lvl w:ilvl="8" w:tplc="04090005" w:tentative="1">
      <w:start w:val="1"/>
      <w:numFmt w:val="bullet"/>
      <w:lvlText w:val=""/>
      <w:lvlJc w:val="left"/>
      <w:pPr>
        <w:tabs>
          <w:tab w:val="num" w:pos="3965"/>
        </w:tabs>
        <w:ind w:left="3965" w:hanging="360"/>
      </w:pPr>
      <w:rPr>
        <w:rFonts w:ascii="Wingdings" w:hAnsi="Wingdings" w:hint="default"/>
      </w:rPr>
    </w:lvl>
  </w:abstractNum>
  <w:abstractNum w:abstractNumId="21" w15:restartNumberingAfterBreak="0">
    <w:nsid w:val="79B01ACE"/>
    <w:multiLevelType w:val="hybridMultilevel"/>
    <w:tmpl w:val="E8AEDBD2"/>
    <w:lvl w:ilvl="0" w:tplc="FFFFFFFF">
      <w:start w:val="1"/>
      <w:numFmt w:val="decimal"/>
      <w:lvlText w:val="%1."/>
      <w:lvlJc w:val="left"/>
      <w:pPr>
        <w:ind w:left="420" w:hanging="420"/>
      </w:pPr>
    </w:lvl>
    <w:lvl w:ilvl="1" w:tplc="FFFFFFFF">
      <w:start w:val="1"/>
      <w:numFmt w:val="decimal"/>
      <w:lvlText w:val="%2"/>
      <w:lvlJc w:val="left"/>
      <w:pPr>
        <w:ind w:left="780" w:hanging="36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num w:numId="1" w16cid:durableId="627008234">
    <w:abstractNumId w:val="12"/>
  </w:num>
  <w:num w:numId="2" w16cid:durableId="1909487870">
    <w:abstractNumId w:val="4"/>
  </w:num>
  <w:num w:numId="3" w16cid:durableId="1776706110">
    <w:abstractNumId w:val="2"/>
  </w:num>
  <w:num w:numId="4" w16cid:durableId="1063452926">
    <w:abstractNumId w:val="15"/>
  </w:num>
  <w:num w:numId="5" w16cid:durableId="159590811">
    <w:abstractNumId w:val="9"/>
  </w:num>
  <w:num w:numId="6" w16cid:durableId="549340024">
    <w:abstractNumId w:val="20"/>
  </w:num>
  <w:num w:numId="7" w16cid:durableId="1533570270">
    <w:abstractNumId w:val="17"/>
  </w:num>
  <w:num w:numId="8" w16cid:durableId="1911619972">
    <w:abstractNumId w:val="10"/>
  </w:num>
  <w:num w:numId="9" w16cid:durableId="512300356">
    <w:abstractNumId w:val="0"/>
  </w:num>
  <w:num w:numId="10" w16cid:durableId="1436093840">
    <w:abstractNumId w:val="5"/>
  </w:num>
  <w:num w:numId="11" w16cid:durableId="1271814385">
    <w:abstractNumId w:val="13"/>
  </w:num>
  <w:num w:numId="12" w16cid:durableId="873419911">
    <w:abstractNumId w:val="18"/>
  </w:num>
  <w:num w:numId="13" w16cid:durableId="1328247834">
    <w:abstractNumId w:val="14"/>
  </w:num>
  <w:num w:numId="14" w16cid:durableId="1523712847">
    <w:abstractNumId w:val="7"/>
  </w:num>
  <w:num w:numId="15" w16cid:durableId="1543975560">
    <w:abstractNumId w:val="1"/>
  </w:num>
  <w:num w:numId="16" w16cid:durableId="881865232">
    <w:abstractNumId w:val="16"/>
  </w:num>
  <w:num w:numId="17" w16cid:durableId="630402364">
    <w:abstractNumId w:val="3"/>
  </w:num>
  <w:num w:numId="18" w16cid:durableId="1185556464">
    <w:abstractNumId w:val="20"/>
  </w:num>
  <w:num w:numId="19" w16cid:durableId="343751357">
    <w:abstractNumId w:val="20"/>
  </w:num>
  <w:num w:numId="20" w16cid:durableId="102965749">
    <w:abstractNumId w:val="20"/>
  </w:num>
  <w:num w:numId="21" w16cid:durableId="949318608">
    <w:abstractNumId w:val="20"/>
  </w:num>
  <w:num w:numId="22" w16cid:durableId="288970765">
    <w:abstractNumId w:val="20"/>
  </w:num>
  <w:num w:numId="23" w16cid:durableId="1930917760">
    <w:abstractNumId w:val="19"/>
  </w:num>
  <w:num w:numId="24" w16cid:durableId="1639920758">
    <w:abstractNumId w:val="11"/>
  </w:num>
  <w:num w:numId="25" w16cid:durableId="14741786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232076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29721847">
    <w:abstractNumId w:val="8"/>
  </w:num>
  <w:num w:numId="28" w16cid:durableId="34717644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01DA"/>
    <w:rsid w:val="00000419"/>
    <w:rsid w:val="00004B28"/>
    <w:rsid w:val="00006633"/>
    <w:rsid w:val="0000703A"/>
    <w:rsid w:val="000078D6"/>
    <w:rsid w:val="000201E2"/>
    <w:rsid w:val="0002183F"/>
    <w:rsid w:val="000240AC"/>
    <w:rsid w:val="000277D7"/>
    <w:rsid w:val="00027CBB"/>
    <w:rsid w:val="00033584"/>
    <w:rsid w:val="00036BFD"/>
    <w:rsid w:val="00036C32"/>
    <w:rsid w:val="00036D3D"/>
    <w:rsid w:val="00037738"/>
    <w:rsid w:val="00037A2D"/>
    <w:rsid w:val="0004320E"/>
    <w:rsid w:val="00043B7B"/>
    <w:rsid w:val="00047545"/>
    <w:rsid w:val="000502FD"/>
    <w:rsid w:val="000505CB"/>
    <w:rsid w:val="00055D15"/>
    <w:rsid w:val="000566E1"/>
    <w:rsid w:val="00060A16"/>
    <w:rsid w:val="00062DAA"/>
    <w:rsid w:val="00064FA3"/>
    <w:rsid w:val="00067299"/>
    <w:rsid w:val="000676A1"/>
    <w:rsid w:val="0007088F"/>
    <w:rsid w:val="000723BB"/>
    <w:rsid w:val="00072574"/>
    <w:rsid w:val="000752E1"/>
    <w:rsid w:val="00080CC2"/>
    <w:rsid w:val="00082EC4"/>
    <w:rsid w:val="0008663F"/>
    <w:rsid w:val="00093EF1"/>
    <w:rsid w:val="000978FD"/>
    <w:rsid w:val="000A1873"/>
    <w:rsid w:val="000A4883"/>
    <w:rsid w:val="000B09C9"/>
    <w:rsid w:val="000B161E"/>
    <w:rsid w:val="000B1938"/>
    <w:rsid w:val="000B1D18"/>
    <w:rsid w:val="000B2144"/>
    <w:rsid w:val="000B6282"/>
    <w:rsid w:val="000B6690"/>
    <w:rsid w:val="000C008E"/>
    <w:rsid w:val="000C0937"/>
    <w:rsid w:val="000C19A3"/>
    <w:rsid w:val="000C2AA4"/>
    <w:rsid w:val="000C6E45"/>
    <w:rsid w:val="000D18C1"/>
    <w:rsid w:val="000D2B2B"/>
    <w:rsid w:val="000D4113"/>
    <w:rsid w:val="000D4E54"/>
    <w:rsid w:val="000E15E2"/>
    <w:rsid w:val="000E1F7B"/>
    <w:rsid w:val="000E443D"/>
    <w:rsid w:val="000E5A48"/>
    <w:rsid w:val="000E6C5A"/>
    <w:rsid w:val="000E7279"/>
    <w:rsid w:val="000F40EC"/>
    <w:rsid w:val="000F739D"/>
    <w:rsid w:val="0010503F"/>
    <w:rsid w:val="001119CE"/>
    <w:rsid w:val="00111B28"/>
    <w:rsid w:val="00114A1F"/>
    <w:rsid w:val="0012010C"/>
    <w:rsid w:val="001217A1"/>
    <w:rsid w:val="001229AC"/>
    <w:rsid w:val="0012681D"/>
    <w:rsid w:val="00126DEE"/>
    <w:rsid w:val="00127B59"/>
    <w:rsid w:val="001305AC"/>
    <w:rsid w:val="00131641"/>
    <w:rsid w:val="001322B8"/>
    <w:rsid w:val="00132B08"/>
    <w:rsid w:val="00134957"/>
    <w:rsid w:val="00135BED"/>
    <w:rsid w:val="00135C3C"/>
    <w:rsid w:val="00136C10"/>
    <w:rsid w:val="00141555"/>
    <w:rsid w:val="00144C24"/>
    <w:rsid w:val="00152D85"/>
    <w:rsid w:val="001556FC"/>
    <w:rsid w:val="00157E02"/>
    <w:rsid w:val="0016588F"/>
    <w:rsid w:val="00166E1C"/>
    <w:rsid w:val="00175A07"/>
    <w:rsid w:val="00180496"/>
    <w:rsid w:val="001826EA"/>
    <w:rsid w:val="00185A91"/>
    <w:rsid w:val="00190A87"/>
    <w:rsid w:val="00190FAF"/>
    <w:rsid w:val="00191ACA"/>
    <w:rsid w:val="001A2383"/>
    <w:rsid w:val="001A34F9"/>
    <w:rsid w:val="001A4DB9"/>
    <w:rsid w:val="001A7350"/>
    <w:rsid w:val="001B1D5F"/>
    <w:rsid w:val="001B2FA1"/>
    <w:rsid w:val="001B361E"/>
    <w:rsid w:val="001B4767"/>
    <w:rsid w:val="001B507E"/>
    <w:rsid w:val="001B7E53"/>
    <w:rsid w:val="001C1DAB"/>
    <w:rsid w:val="001C1DCC"/>
    <w:rsid w:val="001C473D"/>
    <w:rsid w:val="001D012F"/>
    <w:rsid w:val="001D0C68"/>
    <w:rsid w:val="001D3376"/>
    <w:rsid w:val="001D59CE"/>
    <w:rsid w:val="001D5DFE"/>
    <w:rsid w:val="001D5F73"/>
    <w:rsid w:val="001D69F7"/>
    <w:rsid w:val="001D70B0"/>
    <w:rsid w:val="001F0BEA"/>
    <w:rsid w:val="001F1421"/>
    <w:rsid w:val="001F29C2"/>
    <w:rsid w:val="00204BF0"/>
    <w:rsid w:val="00212BCD"/>
    <w:rsid w:val="00212DB4"/>
    <w:rsid w:val="002136B8"/>
    <w:rsid w:val="002144CD"/>
    <w:rsid w:val="002145FF"/>
    <w:rsid w:val="00220099"/>
    <w:rsid w:val="00221F14"/>
    <w:rsid w:val="002222FA"/>
    <w:rsid w:val="00231C9C"/>
    <w:rsid w:val="0023239F"/>
    <w:rsid w:val="002340BA"/>
    <w:rsid w:val="00234C75"/>
    <w:rsid w:val="00236C71"/>
    <w:rsid w:val="00237A12"/>
    <w:rsid w:val="002428E4"/>
    <w:rsid w:val="0024433A"/>
    <w:rsid w:val="00245E3F"/>
    <w:rsid w:val="002500C6"/>
    <w:rsid w:val="00252749"/>
    <w:rsid w:val="00253AF0"/>
    <w:rsid w:val="002551E1"/>
    <w:rsid w:val="00256265"/>
    <w:rsid w:val="00256FA7"/>
    <w:rsid w:val="002577EE"/>
    <w:rsid w:val="002600F8"/>
    <w:rsid w:val="00267070"/>
    <w:rsid w:val="002720E7"/>
    <w:rsid w:val="00273494"/>
    <w:rsid w:val="002750D3"/>
    <w:rsid w:val="00276074"/>
    <w:rsid w:val="00276F97"/>
    <w:rsid w:val="00280554"/>
    <w:rsid w:val="0028087C"/>
    <w:rsid w:val="002823D1"/>
    <w:rsid w:val="00290072"/>
    <w:rsid w:val="002911AD"/>
    <w:rsid w:val="00296038"/>
    <w:rsid w:val="002A2C8B"/>
    <w:rsid w:val="002A3191"/>
    <w:rsid w:val="002A52AF"/>
    <w:rsid w:val="002B0EC9"/>
    <w:rsid w:val="002B110B"/>
    <w:rsid w:val="002B2A17"/>
    <w:rsid w:val="002B32DD"/>
    <w:rsid w:val="002B5AC4"/>
    <w:rsid w:val="002C1AD2"/>
    <w:rsid w:val="002C3897"/>
    <w:rsid w:val="002D414F"/>
    <w:rsid w:val="002D4547"/>
    <w:rsid w:val="002D4BCF"/>
    <w:rsid w:val="002D4E9D"/>
    <w:rsid w:val="002D6B36"/>
    <w:rsid w:val="002E61C9"/>
    <w:rsid w:val="002E6200"/>
    <w:rsid w:val="002E692B"/>
    <w:rsid w:val="002E6AB3"/>
    <w:rsid w:val="002E7223"/>
    <w:rsid w:val="002F4B4D"/>
    <w:rsid w:val="002F4BF9"/>
    <w:rsid w:val="002F5ADB"/>
    <w:rsid w:val="002F760C"/>
    <w:rsid w:val="002F7DD1"/>
    <w:rsid w:val="0030141D"/>
    <w:rsid w:val="00302732"/>
    <w:rsid w:val="00304AB3"/>
    <w:rsid w:val="0030768E"/>
    <w:rsid w:val="00311F6E"/>
    <w:rsid w:val="003179AD"/>
    <w:rsid w:val="00317D40"/>
    <w:rsid w:val="00320179"/>
    <w:rsid w:val="00320565"/>
    <w:rsid w:val="00321461"/>
    <w:rsid w:val="0032189B"/>
    <w:rsid w:val="003235A4"/>
    <w:rsid w:val="00327596"/>
    <w:rsid w:val="00330B37"/>
    <w:rsid w:val="00331DCD"/>
    <w:rsid w:val="00334DB1"/>
    <w:rsid w:val="00335AB1"/>
    <w:rsid w:val="00341CB7"/>
    <w:rsid w:val="00342086"/>
    <w:rsid w:val="00343CCD"/>
    <w:rsid w:val="00350C12"/>
    <w:rsid w:val="003516DE"/>
    <w:rsid w:val="00361C16"/>
    <w:rsid w:val="00365B8F"/>
    <w:rsid w:val="00366014"/>
    <w:rsid w:val="003679C3"/>
    <w:rsid w:val="00371CD4"/>
    <w:rsid w:val="00372A8A"/>
    <w:rsid w:val="003731AF"/>
    <w:rsid w:val="0037446F"/>
    <w:rsid w:val="003752E3"/>
    <w:rsid w:val="00375C4E"/>
    <w:rsid w:val="00380000"/>
    <w:rsid w:val="00381282"/>
    <w:rsid w:val="00384228"/>
    <w:rsid w:val="00387B6B"/>
    <w:rsid w:val="00390E2E"/>
    <w:rsid w:val="00390E73"/>
    <w:rsid w:val="00390FB4"/>
    <w:rsid w:val="00392D92"/>
    <w:rsid w:val="00392F22"/>
    <w:rsid w:val="00394045"/>
    <w:rsid w:val="00394A0E"/>
    <w:rsid w:val="003953EC"/>
    <w:rsid w:val="00396E48"/>
    <w:rsid w:val="003A0B1A"/>
    <w:rsid w:val="003A4A2A"/>
    <w:rsid w:val="003A5735"/>
    <w:rsid w:val="003B0384"/>
    <w:rsid w:val="003B6F2C"/>
    <w:rsid w:val="003B6F44"/>
    <w:rsid w:val="003B717D"/>
    <w:rsid w:val="003B751D"/>
    <w:rsid w:val="003B789C"/>
    <w:rsid w:val="003C2950"/>
    <w:rsid w:val="003C5399"/>
    <w:rsid w:val="003D1A4E"/>
    <w:rsid w:val="003D369B"/>
    <w:rsid w:val="003D3860"/>
    <w:rsid w:val="003D3CD3"/>
    <w:rsid w:val="003D4A95"/>
    <w:rsid w:val="003E0958"/>
    <w:rsid w:val="003E0973"/>
    <w:rsid w:val="003E1D22"/>
    <w:rsid w:val="003E3846"/>
    <w:rsid w:val="003E4C51"/>
    <w:rsid w:val="003F3AFD"/>
    <w:rsid w:val="003F56FA"/>
    <w:rsid w:val="003F66B4"/>
    <w:rsid w:val="003F6ABF"/>
    <w:rsid w:val="0040415F"/>
    <w:rsid w:val="00404AE4"/>
    <w:rsid w:val="00406254"/>
    <w:rsid w:val="00412763"/>
    <w:rsid w:val="004136AB"/>
    <w:rsid w:val="00413FAB"/>
    <w:rsid w:val="00414D11"/>
    <w:rsid w:val="00415AD8"/>
    <w:rsid w:val="00415B4C"/>
    <w:rsid w:val="00415D56"/>
    <w:rsid w:val="00417286"/>
    <w:rsid w:val="0042361B"/>
    <w:rsid w:val="004246D2"/>
    <w:rsid w:val="0042475F"/>
    <w:rsid w:val="00427CB3"/>
    <w:rsid w:val="004307A0"/>
    <w:rsid w:val="00430C1C"/>
    <w:rsid w:val="00436934"/>
    <w:rsid w:val="0043723B"/>
    <w:rsid w:val="00443070"/>
    <w:rsid w:val="0044584A"/>
    <w:rsid w:val="004477D6"/>
    <w:rsid w:val="00450E17"/>
    <w:rsid w:val="00450E5B"/>
    <w:rsid w:val="0045226C"/>
    <w:rsid w:val="00452823"/>
    <w:rsid w:val="00456853"/>
    <w:rsid w:val="00457055"/>
    <w:rsid w:val="00463114"/>
    <w:rsid w:val="0046367F"/>
    <w:rsid w:val="00466B81"/>
    <w:rsid w:val="00471709"/>
    <w:rsid w:val="00471AD9"/>
    <w:rsid w:val="0047389C"/>
    <w:rsid w:val="00475801"/>
    <w:rsid w:val="004774BA"/>
    <w:rsid w:val="00480000"/>
    <w:rsid w:val="00486B2C"/>
    <w:rsid w:val="004927F4"/>
    <w:rsid w:val="00494DF4"/>
    <w:rsid w:val="00496030"/>
    <w:rsid w:val="004A0C67"/>
    <w:rsid w:val="004A1AEA"/>
    <w:rsid w:val="004A25BE"/>
    <w:rsid w:val="004A42BB"/>
    <w:rsid w:val="004A5C45"/>
    <w:rsid w:val="004B3E3C"/>
    <w:rsid w:val="004B6023"/>
    <w:rsid w:val="004C60BA"/>
    <w:rsid w:val="004C735E"/>
    <w:rsid w:val="004D32F2"/>
    <w:rsid w:val="004D4385"/>
    <w:rsid w:val="004D606F"/>
    <w:rsid w:val="004D62D5"/>
    <w:rsid w:val="004E3A43"/>
    <w:rsid w:val="004E4425"/>
    <w:rsid w:val="004E4591"/>
    <w:rsid w:val="004F61DC"/>
    <w:rsid w:val="005007D4"/>
    <w:rsid w:val="00502B78"/>
    <w:rsid w:val="005039F0"/>
    <w:rsid w:val="00510676"/>
    <w:rsid w:val="00512FC9"/>
    <w:rsid w:val="00513AA1"/>
    <w:rsid w:val="00515CED"/>
    <w:rsid w:val="0051628D"/>
    <w:rsid w:val="0051755B"/>
    <w:rsid w:val="0052004E"/>
    <w:rsid w:val="00520A23"/>
    <w:rsid w:val="0052635C"/>
    <w:rsid w:val="00530A86"/>
    <w:rsid w:val="00531B04"/>
    <w:rsid w:val="00536A3C"/>
    <w:rsid w:val="00542B46"/>
    <w:rsid w:val="005448D3"/>
    <w:rsid w:val="00544DED"/>
    <w:rsid w:val="00551CC7"/>
    <w:rsid w:val="00552A2B"/>
    <w:rsid w:val="00555FA0"/>
    <w:rsid w:val="00561831"/>
    <w:rsid w:val="00563788"/>
    <w:rsid w:val="00564234"/>
    <w:rsid w:val="005649E8"/>
    <w:rsid w:val="0056624E"/>
    <w:rsid w:val="0057053B"/>
    <w:rsid w:val="00575725"/>
    <w:rsid w:val="00576785"/>
    <w:rsid w:val="00576915"/>
    <w:rsid w:val="00581A65"/>
    <w:rsid w:val="00581CF8"/>
    <w:rsid w:val="00583FC8"/>
    <w:rsid w:val="00585B50"/>
    <w:rsid w:val="005866B1"/>
    <w:rsid w:val="00592A23"/>
    <w:rsid w:val="005948A9"/>
    <w:rsid w:val="005955C1"/>
    <w:rsid w:val="00595FB1"/>
    <w:rsid w:val="005963F4"/>
    <w:rsid w:val="005A09F0"/>
    <w:rsid w:val="005A26F8"/>
    <w:rsid w:val="005A382F"/>
    <w:rsid w:val="005A3D99"/>
    <w:rsid w:val="005A3F3D"/>
    <w:rsid w:val="005A5B85"/>
    <w:rsid w:val="005A69FF"/>
    <w:rsid w:val="005B2E70"/>
    <w:rsid w:val="005B486E"/>
    <w:rsid w:val="005B5C3C"/>
    <w:rsid w:val="005B7C38"/>
    <w:rsid w:val="005C2CC5"/>
    <w:rsid w:val="005C3F0F"/>
    <w:rsid w:val="005C4076"/>
    <w:rsid w:val="005C506E"/>
    <w:rsid w:val="005C5C02"/>
    <w:rsid w:val="005D0B2C"/>
    <w:rsid w:val="005D0E78"/>
    <w:rsid w:val="005D4401"/>
    <w:rsid w:val="005D4C79"/>
    <w:rsid w:val="005D7561"/>
    <w:rsid w:val="005E13D4"/>
    <w:rsid w:val="005E2E23"/>
    <w:rsid w:val="005E3163"/>
    <w:rsid w:val="005E6FC3"/>
    <w:rsid w:val="005F5AC9"/>
    <w:rsid w:val="00600785"/>
    <w:rsid w:val="006014DF"/>
    <w:rsid w:val="00603256"/>
    <w:rsid w:val="0060363E"/>
    <w:rsid w:val="006125F9"/>
    <w:rsid w:val="00616F03"/>
    <w:rsid w:val="00617F75"/>
    <w:rsid w:val="00621AA7"/>
    <w:rsid w:val="0063053E"/>
    <w:rsid w:val="00632A49"/>
    <w:rsid w:val="0063482D"/>
    <w:rsid w:val="00637F05"/>
    <w:rsid w:val="00640255"/>
    <w:rsid w:val="006469D6"/>
    <w:rsid w:val="00650A3D"/>
    <w:rsid w:val="00653BB4"/>
    <w:rsid w:val="006571A2"/>
    <w:rsid w:val="00657ABB"/>
    <w:rsid w:val="00657FF9"/>
    <w:rsid w:val="00664B31"/>
    <w:rsid w:val="00666EA1"/>
    <w:rsid w:val="0066723C"/>
    <w:rsid w:val="00671523"/>
    <w:rsid w:val="00672C28"/>
    <w:rsid w:val="00673EB7"/>
    <w:rsid w:val="00674294"/>
    <w:rsid w:val="006800AE"/>
    <w:rsid w:val="006812B2"/>
    <w:rsid w:val="006844A4"/>
    <w:rsid w:val="00684A23"/>
    <w:rsid w:val="0069000C"/>
    <w:rsid w:val="00692D0D"/>
    <w:rsid w:val="006931BD"/>
    <w:rsid w:val="00693D99"/>
    <w:rsid w:val="00696D8E"/>
    <w:rsid w:val="0069713B"/>
    <w:rsid w:val="00697690"/>
    <w:rsid w:val="006A0A85"/>
    <w:rsid w:val="006A1B51"/>
    <w:rsid w:val="006A22C3"/>
    <w:rsid w:val="006A7B11"/>
    <w:rsid w:val="006B2408"/>
    <w:rsid w:val="006B763F"/>
    <w:rsid w:val="006B7D13"/>
    <w:rsid w:val="006C17A2"/>
    <w:rsid w:val="006C1F5B"/>
    <w:rsid w:val="006C34BA"/>
    <w:rsid w:val="006C6E1A"/>
    <w:rsid w:val="006D3A5E"/>
    <w:rsid w:val="006D463C"/>
    <w:rsid w:val="006D4F64"/>
    <w:rsid w:val="006D51EF"/>
    <w:rsid w:val="006D62EA"/>
    <w:rsid w:val="006D662F"/>
    <w:rsid w:val="006D6EE7"/>
    <w:rsid w:val="006E7CED"/>
    <w:rsid w:val="006E7F53"/>
    <w:rsid w:val="006F009A"/>
    <w:rsid w:val="006F0E48"/>
    <w:rsid w:val="006F3309"/>
    <w:rsid w:val="006F3844"/>
    <w:rsid w:val="006F5211"/>
    <w:rsid w:val="006F718A"/>
    <w:rsid w:val="006F7948"/>
    <w:rsid w:val="006F7A32"/>
    <w:rsid w:val="00701C8C"/>
    <w:rsid w:val="007025DD"/>
    <w:rsid w:val="00703BAA"/>
    <w:rsid w:val="00704F12"/>
    <w:rsid w:val="00707153"/>
    <w:rsid w:val="00707369"/>
    <w:rsid w:val="007105BA"/>
    <w:rsid w:val="00711D23"/>
    <w:rsid w:val="00712575"/>
    <w:rsid w:val="00712DD9"/>
    <w:rsid w:val="00714F93"/>
    <w:rsid w:val="007158E6"/>
    <w:rsid w:val="00724078"/>
    <w:rsid w:val="007260FF"/>
    <w:rsid w:val="0073082C"/>
    <w:rsid w:val="00732338"/>
    <w:rsid w:val="00733434"/>
    <w:rsid w:val="007345D8"/>
    <w:rsid w:val="00735937"/>
    <w:rsid w:val="0073758A"/>
    <w:rsid w:val="00737D56"/>
    <w:rsid w:val="007514CB"/>
    <w:rsid w:val="007538A0"/>
    <w:rsid w:val="00760B23"/>
    <w:rsid w:val="00764288"/>
    <w:rsid w:val="007650AE"/>
    <w:rsid w:val="007655C6"/>
    <w:rsid w:val="00766391"/>
    <w:rsid w:val="00773E4B"/>
    <w:rsid w:val="0078172C"/>
    <w:rsid w:val="00785D79"/>
    <w:rsid w:val="00787658"/>
    <w:rsid w:val="00787DA7"/>
    <w:rsid w:val="0079372C"/>
    <w:rsid w:val="0079429A"/>
    <w:rsid w:val="007A13C5"/>
    <w:rsid w:val="007A6E39"/>
    <w:rsid w:val="007B0D5E"/>
    <w:rsid w:val="007B19BC"/>
    <w:rsid w:val="007B510C"/>
    <w:rsid w:val="007C0CA1"/>
    <w:rsid w:val="007C2284"/>
    <w:rsid w:val="007C759A"/>
    <w:rsid w:val="007C7FDE"/>
    <w:rsid w:val="007D41EC"/>
    <w:rsid w:val="007D48BB"/>
    <w:rsid w:val="007E0AA7"/>
    <w:rsid w:val="007E213F"/>
    <w:rsid w:val="007E2405"/>
    <w:rsid w:val="007E2DF6"/>
    <w:rsid w:val="007E340F"/>
    <w:rsid w:val="007E723E"/>
    <w:rsid w:val="007E7264"/>
    <w:rsid w:val="007F0218"/>
    <w:rsid w:val="007F0740"/>
    <w:rsid w:val="007F25EF"/>
    <w:rsid w:val="007F30C7"/>
    <w:rsid w:val="007F34F0"/>
    <w:rsid w:val="007F7505"/>
    <w:rsid w:val="007F7E36"/>
    <w:rsid w:val="007F7F2C"/>
    <w:rsid w:val="00803FA0"/>
    <w:rsid w:val="00804083"/>
    <w:rsid w:val="00804858"/>
    <w:rsid w:val="0080763E"/>
    <w:rsid w:val="008123AB"/>
    <w:rsid w:val="00817607"/>
    <w:rsid w:val="008228B0"/>
    <w:rsid w:val="00835D43"/>
    <w:rsid w:val="00841790"/>
    <w:rsid w:val="0084197E"/>
    <w:rsid w:val="00842553"/>
    <w:rsid w:val="0084480A"/>
    <w:rsid w:val="00846209"/>
    <w:rsid w:val="00846B77"/>
    <w:rsid w:val="00856607"/>
    <w:rsid w:val="00856E29"/>
    <w:rsid w:val="0085709E"/>
    <w:rsid w:val="00857106"/>
    <w:rsid w:val="00865BF3"/>
    <w:rsid w:val="008666A0"/>
    <w:rsid w:val="008703AE"/>
    <w:rsid w:val="0087197F"/>
    <w:rsid w:val="00875D9D"/>
    <w:rsid w:val="0087634F"/>
    <w:rsid w:val="0087797E"/>
    <w:rsid w:val="00880DB1"/>
    <w:rsid w:val="00882390"/>
    <w:rsid w:val="0088277A"/>
    <w:rsid w:val="00882FE4"/>
    <w:rsid w:val="00885223"/>
    <w:rsid w:val="00886368"/>
    <w:rsid w:val="00887CF9"/>
    <w:rsid w:val="00890562"/>
    <w:rsid w:val="00895539"/>
    <w:rsid w:val="00895F59"/>
    <w:rsid w:val="00897B68"/>
    <w:rsid w:val="008A15DE"/>
    <w:rsid w:val="008A4F6F"/>
    <w:rsid w:val="008A6753"/>
    <w:rsid w:val="008A6990"/>
    <w:rsid w:val="008A6F6B"/>
    <w:rsid w:val="008B2BFF"/>
    <w:rsid w:val="008B37FF"/>
    <w:rsid w:val="008B5751"/>
    <w:rsid w:val="008C187A"/>
    <w:rsid w:val="008C1ECC"/>
    <w:rsid w:val="008C2206"/>
    <w:rsid w:val="008C2BCF"/>
    <w:rsid w:val="008E1EF4"/>
    <w:rsid w:val="008E393F"/>
    <w:rsid w:val="008E7911"/>
    <w:rsid w:val="008F1CD9"/>
    <w:rsid w:val="008F4460"/>
    <w:rsid w:val="0090218F"/>
    <w:rsid w:val="009036A3"/>
    <w:rsid w:val="00905280"/>
    <w:rsid w:val="0090562B"/>
    <w:rsid w:val="00910096"/>
    <w:rsid w:val="00911342"/>
    <w:rsid w:val="00912BC3"/>
    <w:rsid w:val="00912CF1"/>
    <w:rsid w:val="00917590"/>
    <w:rsid w:val="00920997"/>
    <w:rsid w:val="0092422F"/>
    <w:rsid w:val="00924A6E"/>
    <w:rsid w:val="009271BA"/>
    <w:rsid w:val="00927B05"/>
    <w:rsid w:val="009306C9"/>
    <w:rsid w:val="0093163A"/>
    <w:rsid w:val="0093747A"/>
    <w:rsid w:val="00937E22"/>
    <w:rsid w:val="0094075C"/>
    <w:rsid w:val="00942260"/>
    <w:rsid w:val="009460B5"/>
    <w:rsid w:val="0094767F"/>
    <w:rsid w:val="009479CD"/>
    <w:rsid w:val="0095125E"/>
    <w:rsid w:val="00952028"/>
    <w:rsid w:val="0095297E"/>
    <w:rsid w:val="009536EB"/>
    <w:rsid w:val="00956BED"/>
    <w:rsid w:val="0096468A"/>
    <w:rsid w:val="0096631C"/>
    <w:rsid w:val="00966877"/>
    <w:rsid w:val="0096687C"/>
    <w:rsid w:val="00966CD3"/>
    <w:rsid w:val="009670DA"/>
    <w:rsid w:val="00967535"/>
    <w:rsid w:val="0097141E"/>
    <w:rsid w:val="0097259E"/>
    <w:rsid w:val="009762FC"/>
    <w:rsid w:val="00977DE7"/>
    <w:rsid w:val="0098482F"/>
    <w:rsid w:val="009862F0"/>
    <w:rsid w:val="009912C5"/>
    <w:rsid w:val="009928D8"/>
    <w:rsid w:val="009A1EA2"/>
    <w:rsid w:val="009A2412"/>
    <w:rsid w:val="009A453C"/>
    <w:rsid w:val="009A5EA0"/>
    <w:rsid w:val="009A6C84"/>
    <w:rsid w:val="009B2CF8"/>
    <w:rsid w:val="009B480D"/>
    <w:rsid w:val="009B4AB1"/>
    <w:rsid w:val="009C0AD1"/>
    <w:rsid w:val="009C6980"/>
    <w:rsid w:val="009C7253"/>
    <w:rsid w:val="009D0A75"/>
    <w:rsid w:val="009D661C"/>
    <w:rsid w:val="009E2028"/>
    <w:rsid w:val="009E3E31"/>
    <w:rsid w:val="009E4367"/>
    <w:rsid w:val="009E4A78"/>
    <w:rsid w:val="009E506A"/>
    <w:rsid w:val="009E64E0"/>
    <w:rsid w:val="009E7334"/>
    <w:rsid w:val="009F010A"/>
    <w:rsid w:val="009F0D05"/>
    <w:rsid w:val="009F1A67"/>
    <w:rsid w:val="009F2104"/>
    <w:rsid w:val="009F53A5"/>
    <w:rsid w:val="00A0081A"/>
    <w:rsid w:val="00A00FB4"/>
    <w:rsid w:val="00A01590"/>
    <w:rsid w:val="00A02560"/>
    <w:rsid w:val="00A02807"/>
    <w:rsid w:val="00A0695E"/>
    <w:rsid w:val="00A126B0"/>
    <w:rsid w:val="00A1302B"/>
    <w:rsid w:val="00A212E3"/>
    <w:rsid w:val="00A2451F"/>
    <w:rsid w:val="00A25371"/>
    <w:rsid w:val="00A25C57"/>
    <w:rsid w:val="00A33FE5"/>
    <w:rsid w:val="00A407AC"/>
    <w:rsid w:val="00A539A4"/>
    <w:rsid w:val="00A54ACE"/>
    <w:rsid w:val="00A56322"/>
    <w:rsid w:val="00A60CDE"/>
    <w:rsid w:val="00A61DF4"/>
    <w:rsid w:val="00A620B4"/>
    <w:rsid w:val="00A675C7"/>
    <w:rsid w:val="00A707C5"/>
    <w:rsid w:val="00A72210"/>
    <w:rsid w:val="00A75B82"/>
    <w:rsid w:val="00A765AC"/>
    <w:rsid w:val="00A83A17"/>
    <w:rsid w:val="00A85027"/>
    <w:rsid w:val="00A8634F"/>
    <w:rsid w:val="00A87E15"/>
    <w:rsid w:val="00A9004F"/>
    <w:rsid w:val="00A90C38"/>
    <w:rsid w:val="00AA0064"/>
    <w:rsid w:val="00AA1479"/>
    <w:rsid w:val="00AA2C1B"/>
    <w:rsid w:val="00AA333A"/>
    <w:rsid w:val="00AA3CB7"/>
    <w:rsid w:val="00AA3FAE"/>
    <w:rsid w:val="00AA43E5"/>
    <w:rsid w:val="00AA6B43"/>
    <w:rsid w:val="00AA7EAE"/>
    <w:rsid w:val="00AB304B"/>
    <w:rsid w:val="00AB5BCE"/>
    <w:rsid w:val="00AC214F"/>
    <w:rsid w:val="00AC3051"/>
    <w:rsid w:val="00AC6372"/>
    <w:rsid w:val="00AC7A35"/>
    <w:rsid w:val="00AD301A"/>
    <w:rsid w:val="00AD5A77"/>
    <w:rsid w:val="00AD7B57"/>
    <w:rsid w:val="00AE02DE"/>
    <w:rsid w:val="00AE1953"/>
    <w:rsid w:val="00AE3826"/>
    <w:rsid w:val="00AE6011"/>
    <w:rsid w:val="00AE64E3"/>
    <w:rsid w:val="00AE6965"/>
    <w:rsid w:val="00AF1285"/>
    <w:rsid w:val="00AF2710"/>
    <w:rsid w:val="00B00FA0"/>
    <w:rsid w:val="00B019CD"/>
    <w:rsid w:val="00B03F05"/>
    <w:rsid w:val="00B205DD"/>
    <w:rsid w:val="00B21234"/>
    <w:rsid w:val="00B226EC"/>
    <w:rsid w:val="00B236AE"/>
    <w:rsid w:val="00B25068"/>
    <w:rsid w:val="00B25314"/>
    <w:rsid w:val="00B33EE7"/>
    <w:rsid w:val="00B36BE9"/>
    <w:rsid w:val="00B36DB5"/>
    <w:rsid w:val="00B403D4"/>
    <w:rsid w:val="00B44272"/>
    <w:rsid w:val="00B475EE"/>
    <w:rsid w:val="00B51988"/>
    <w:rsid w:val="00B51A08"/>
    <w:rsid w:val="00B51B43"/>
    <w:rsid w:val="00B53140"/>
    <w:rsid w:val="00B5693F"/>
    <w:rsid w:val="00B608CE"/>
    <w:rsid w:val="00B63582"/>
    <w:rsid w:val="00B7290B"/>
    <w:rsid w:val="00B76C9C"/>
    <w:rsid w:val="00B80225"/>
    <w:rsid w:val="00B91029"/>
    <w:rsid w:val="00B936EA"/>
    <w:rsid w:val="00BA0A92"/>
    <w:rsid w:val="00BA1A39"/>
    <w:rsid w:val="00BB03AA"/>
    <w:rsid w:val="00BB0F06"/>
    <w:rsid w:val="00BB431B"/>
    <w:rsid w:val="00BB5315"/>
    <w:rsid w:val="00BB5FC3"/>
    <w:rsid w:val="00BC23A2"/>
    <w:rsid w:val="00BC2F24"/>
    <w:rsid w:val="00BC4EA8"/>
    <w:rsid w:val="00BC540C"/>
    <w:rsid w:val="00BC5C55"/>
    <w:rsid w:val="00BC717B"/>
    <w:rsid w:val="00BD07F6"/>
    <w:rsid w:val="00BD1442"/>
    <w:rsid w:val="00BD3255"/>
    <w:rsid w:val="00BE1FB3"/>
    <w:rsid w:val="00BE3450"/>
    <w:rsid w:val="00BE3AF0"/>
    <w:rsid w:val="00BE3ECD"/>
    <w:rsid w:val="00BE544E"/>
    <w:rsid w:val="00BE56D3"/>
    <w:rsid w:val="00BE66BB"/>
    <w:rsid w:val="00BE7920"/>
    <w:rsid w:val="00BF080A"/>
    <w:rsid w:val="00BF0D08"/>
    <w:rsid w:val="00C01CA9"/>
    <w:rsid w:val="00C0232F"/>
    <w:rsid w:val="00C0445B"/>
    <w:rsid w:val="00C07359"/>
    <w:rsid w:val="00C07627"/>
    <w:rsid w:val="00C137FC"/>
    <w:rsid w:val="00C1498E"/>
    <w:rsid w:val="00C16F07"/>
    <w:rsid w:val="00C220CF"/>
    <w:rsid w:val="00C25C60"/>
    <w:rsid w:val="00C3047B"/>
    <w:rsid w:val="00C31487"/>
    <w:rsid w:val="00C33EEF"/>
    <w:rsid w:val="00C35774"/>
    <w:rsid w:val="00C35973"/>
    <w:rsid w:val="00C41013"/>
    <w:rsid w:val="00C44701"/>
    <w:rsid w:val="00C447AC"/>
    <w:rsid w:val="00C448F4"/>
    <w:rsid w:val="00C472BE"/>
    <w:rsid w:val="00C50F28"/>
    <w:rsid w:val="00C53D68"/>
    <w:rsid w:val="00C567DC"/>
    <w:rsid w:val="00C5700F"/>
    <w:rsid w:val="00C61623"/>
    <w:rsid w:val="00C65F68"/>
    <w:rsid w:val="00C663F0"/>
    <w:rsid w:val="00C70120"/>
    <w:rsid w:val="00C733E5"/>
    <w:rsid w:val="00C75852"/>
    <w:rsid w:val="00C758A1"/>
    <w:rsid w:val="00C81BA0"/>
    <w:rsid w:val="00C83745"/>
    <w:rsid w:val="00C84013"/>
    <w:rsid w:val="00C912E7"/>
    <w:rsid w:val="00C92F7E"/>
    <w:rsid w:val="00C93460"/>
    <w:rsid w:val="00C9636B"/>
    <w:rsid w:val="00C97A48"/>
    <w:rsid w:val="00CA03E2"/>
    <w:rsid w:val="00CA11A4"/>
    <w:rsid w:val="00CA1662"/>
    <w:rsid w:val="00CA2F8B"/>
    <w:rsid w:val="00CB1F8C"/>
    <w:rsid w:val="00CB3AF7"/>
    <w:rsid w:val="00CB786B"/>
    <w:rsid w:val="00CC03CF"/>
    <w:rsid w:val="00CC1A0C"/>
    <w:rsid w:val="00CC4341"/>
    <w:rsid w:val="00CC5834"/>
    <w:rsid w:val="00CC5F4B"/>
    <w:rsid w:val="00CC62E8"/>
    <w:rsid w:val="00CC72B0"/>
    <w:rsid w:val="00CD0C0C"/>
    <w:rsid w:val="00CD3114"/>
    <w:rsid w:val="00CD729C"/>
    <w:rsid w:val="00CE298A"/>
    <w:rsid w:val="00CE3E0A"/>
    <w:rsid w:val="00CE565B"/>
    <w:rsid w:val="00CE7C33"/>
    <w:rsid w:val="00CF2621"/>
    <w:rsid w:val="00CF477A"/>
    <w:rsid w:val="00CF4D2F"/>
    <w:rsid w:val="00CF781D"/>
    <w:rsid w:val="00D01B08"/>
    <w:rsid w:val="00D01B82"/>
    <w:rsid w:val="00D02D3B"/>
    <w:rsid w:val="00D03534"/>
    <w:rsid w:val="00D10276"/>
    <w:rsid w:val="00D104F6"/>
    <w:rsid w:val="00D13979"/>
    <w:rsid w:val="00D16925"/>
    <w:rsid w:val="00D20225"/>
    <w:rsid w:val="00D20EDC"/>
    <w:rsid w:val="00D226CE"/>
    <w:rsid w:val="00D242C5"/>
    <w:rsid w:val="00D248E0"/>
    <w:rsid w:val="00D24D72"/>
    <w:rsid w:val="00D26BF2"/>
    <w:rsid w:val="00D26F6E"/>
    <w:rsid w:val="00D27F50"/>
    <w:rsid w:val="00D35939"/>
    <w:rsid w:val="00D43587"/>
    <w:rsid w:val="00D43FDB"/>
    <w:rsid w:val="00D45C4F"/>
    <w:rsid w:val="00D526C9"/>
    <w:rsid w:val="00D533AB"/>
    <w:rsid w:val="00D5676C"/>
    <w:rsid w:val="00D577F8"/>
    <w:rsid w:val="00D57EF6"/>
    <w:rsid w:val="00D6107C"/>
    <w:rsid w:val="00D635A8"/>
    <w:rsid w:val="00D73418"/>
    <w:rsid w:val="00D73C0C"/>
    <w:rsid w:val="00D74DD4"/>
    <w:rsid w:val="00D75DA1"/>
    <w:rsid w:val="00D76F6E"/>
    <w:rsid w:val="00D801F5"/>
    <w:rsid w:val="00D851CA"/>
    <w:rsid w:val="00D85925"/>
    <w:rsid w:val="00D869B7"/>
    <w:rsid w:val="00D92198"/>
    <w:rsid w:val="00D92865"/>
    <w:rsid w:val="00D95016"/>
    <w:rsid w:val="00D956D6"/>
    <w:rsid w:val="00D96DF4"/>
    <w:rsid w:val="00D971A3"/>
    <w:rsid w:val="00D9742C"/>
    <w:rsid w:val="00DA0578"/>
    <w:rsid w:val="00DA4EBC"/>
    <w:rsid w:val="00DA6317"/>
    <w:rsid w:val="00DB020D"/>
    <w:rsid w:val="00DB113C"/>
    <w:rsid w:val="00DB22CF"/>
    <w:rsid w:val="00DB5E41"/>
    <w:rsid w:val="00DC00CD"/>
    <w:rsid w:val="00DC0D46"/>
    <w:rsid w:val="00DC21C1"/>
    <w:rsid w:val="00DC2554"/>
    <w:rsid w:val="00DC27A2"/>
    <w:rsid w:val="00DC2B66"/>
    <w:rsid w:val="00DC3576"/>
    <w:rsid w:val="00DC494E"/>
    <w:rsid w:val="00DC4A89"/>
    <w:rsid w:val="00DD0D2A"/>
    <w:rsid w:val="00DD4A2B"/>
    <w:rsid w:val="00DD4FF8"/>
    <w:rsid w:val="00DE0283"/>
    <w:rsid w:val="00DE15ED"/>
    <w:rsid w:val="00DE44DC"/>
    <w:rsid w:val="00DF1E8D"/>
    <w:rsid w:val="00DF66F0"/>
    <w:rsid w:val="00DF6E59"/>
    <w:rsid w:val="00DF760F"/>
    <w:rsid w:val="00E00335"/>
    <w:rsid w:val="00E00799"/>
    <w:rsid w:val="00E00E64"/>
    <w:rsid w:val="00E026F9"/>
    <w:rsid w:val="00E048A2"/>
    <w:rsid w:val="00E053C3"/>
    <w:rsid w:val="00E05A10"/>
    <w:rsid w:val="00E063C8"/>
    <w:rsid w:val="00E06C9B"/>
    <w:rsid w:val="00E07099"/>
    <w:rsid w:val="00E13436"/>
    <w:rsid w:val="00E15030"/>
    <w:rsid w:val="00E22EFA"/>
    <w:rsid w:val="00E2767D"/>
    <w:rsid w:val="00E27EA4"/>
    <w:rsid w:val="00E31514"/>
    <w:rsid w:val="00E344A7"/>
    <w:rsid w:val="00E345CB"/>
    <w:rsid w:val="00E3573E"/>
    <w:rsid w:val="00E37BD6"/>
    <w:rsid w:val="00E4510C"/>
    <w:rsid w:val="00E45A53"/>
    <w:rsid w:val="00E51052"/>
    <w:rsid w:val="00E52A20"/>
    <w:rsid w:val="00E549F7"/>
    <w:rsid w:val="00E55256"/>
    <w:rsid w:val="00E55CE1"/>
    <w:rsid w:val="00E55D1E"/>
    <w:rsid w:val="00E56D80"/>
    <w:rsid w:val="00E616FB"/>
    <w:rsid w:val="00E62A8E"/>
    <w:rsid w:val="00E673B3"/>
    <w:rsid w:val="00E67471"/>
    <w:rsid w:val="00E730BA"/>
    <w:rsid w:val="00E75FF9"/>
    <w:rsid w:val="00E76D60"/>
    <w:rsid w:val="00E8113F"/>
    <w:rsid w:val="00E82D5F"/>
    <w:rsid w:val="00E867B3"/>
    <w:rsid w:val="00E86B58"/>
    <w:rsid w:val="00E87FD6"/>
    <w:rsid w:val="00E96256"/>
    <w:rsid w:val="00EA3E46"/>
    <w:rsid w:val="00EA7B56"/>
    <w:rsid w:val="00EB0F40"/>
    <w:rsid w:val="00EB1001"/>
    <w:rsid w:val="00EB4E5F"/>
    <w:rsid w:val="00EB583A"/>
    <w:rsid w:val="00EB6CFC"/>
    <w:rsid w:val="00EC77A0"/>
    <w:rsid w:val="00EE1F08"/>
    <w:rsid w:val="00EE29DC"/>
    <w:rsid w:val="00EE3198"/>
    <w:rsid w:val="00EE4D51"/>
    <w:rsid w:val="00EE70D6"/>
    <w:rsid w:val="00EF0E7E"/>
    <w:rsid w:val="00EF576D"/>
    <w:rsid w:val="00EF57C9"/>
    <w:rsid w:val="00F00BFF"/>
    <w:rsid w:val="00F017C8"/>
    <w:rsid w:val="00F02242"/>
    <w:rsid w:val="00F02CF5"/>
    <w:rsid w:val="00F03209"/>
    <w:rsid w:val="00F0377E"/>
    <w:rsid w:val="00F0569A"/>
    <w:rsid w:val="00F06A89"/>
    <w:rsid w:val="00F06CD6"/>
    <w:rsid w:val="00F11603"/>
    <w:rsid w:val="00F119B3"/>
    <w:rsid w:val="00F1543A"/>
    <w:rsid w:val="00F15BDB"/>
    <w:rsid w:val="00F22551"/>
    <w:rsid w:val="00F23BB4"/>
    <w:rsid w:val="00F23F71"/>
    <w:rsid w:val="00F2498B"/>
    <w:rsid w:val="00F27DE5"/>
    <w:rsid w:val="00F31514"/>
    <w:rsid w:val="00F35A58"/>
    <w:rsid w:val="00F376F2"/>
    <w:rsid w:val="00F37BD9"/>
    <w:rsid w:val="00F37C75"/>
    <w:rsid w:val="00F41CAD"/>
    <w:rsid w:val="00F437EA"/>
    <w:rsid w:val="00F52357"/>
    <w:rsid w:val="00F55239"/>
    <w:rsid w:val="00F5677C"/>
    <w:rsid w:val="00F56AEB"/>
    <w:rsid w:val="00F56B33"/>
    <w:rsid w:val="00F572B4"/>
    <w:rsid w:val="00F612F9"/>
    <w:rsid w:val="00F6131B"/>
    <w:rsid w:val="00F62D40"/>
    <w:rsid w:val="00F65F71"/>
    <w:rsid w:val="00F71128"/>
    <w:rsid w:val="00F7376B"/>
    <w:rsid w:val="00F75A55"/>
    <w:rsid w:val="00F769C9"/>
    <w:rsid w:val="00F77E5C"/>
    <w:rsid w:val="00F77FD7"/>
    <w:rsid w:val="00F83896"/>
    <w:rsid w:val="00F838A4"/>
    <w:rsid w:val="00F862F2"/>
    <w:rsid w:val="00F90279"/>
    <w:rsid w:val="00F910F0"/>
    <w:rsid w:val="00F91AD1"/>
    <w:rsid w:val="00F961F5"/>
    <w:rsid w:val="00FA19E0"/>
    <w:rsid w:val="00FA25E1"/>
    <w:rsid w:val="00FA3FF7"/>
    <w:rsid w:val="00FA440F"/>
    <w:rsid w:val="00FB2DC5"/>
    <w:rsid w:val="00FB7488"/>
    <w:rsid w:val="00FC144A"/>
    <w:rsid w:val="00FC1D89"/>
    <w:rsid w:val="00FC3621"/>
    <w:rsid w:val="00FC4A3C"/>
    <w:rsid w:val="00FC6BB4"/>
    <w:rsid w:val="00FD7D72"/>
    <w:rsid w:val="00FE008A"/>
    <w:rsid w:val="00FE092E"/>
    <w:rsid w:val="00FE259C"/>
    <w:rsid w:val="00FE796C"/>
    <w:rsid w:val="00FF1C80"/>
    <w:rsid w:val="00FF2385"/>
    <w:rsid w:val="00FF4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
    <w:basedOn w:val="a"/>
    <w:link w:val="ad"/>
    <w:uiPriority w:val="34"/>
    <w:qFormat/>
    <w:rsid w:val="00064FA3"/>
    <w:pPr>
      <w:ind w:firstLineChars="200" w:firstLine="420"/>
    </w:pPr>
  </w:style>
  <w:style w:type="paragraph" w:styleId="ae">
    <w:name w:val="annotation text"/>
    <w:basedOn w:val="a"/>
    <w:link w:val="af"/>
    <w:uiPriority w:val="99"/>
    <w:semiHidden/>
    <w:unhideWhenUsed/>
    <w:rsid w:val="00AF2710"/>
    <w:pPr>
      <w:jc w:val="left"/>
    </w:pPr>
  </w:style>
  <w:style w:type="character" w:customStyle="1" w:styleId="af">
    <w:name w:val="批注文字 字符"/>
    <w:basedOn w:val="a0"/>
    <w:link w:val="ae"/>
    <w:uiPriority w:val="99"/>
    <w:semiHidden/>
    <w:rsid w:val="00AF2710"/>
  </w:style>
  <w:style w:type="paragraph" w:styleId="af0">
    <w:name w:val="annotation subject"/>
    <w:basedOn w:val="ae"/>
    <w:next w:val="ae"/>
    <w:link w:val="af1"/>
    <w:uiPriority w:val="99"/>
    <w:semiHidden/>
    <w:unhideWhenUsed/>
    <w:rsid w:val="00AF2710"/>
    <w:rPr>
      <w:b/>
      <w:bCs/>
    </w:rPr>
  </w:style>
  <w:style w:type="character" w:customStyle="1" w:styleId="af1">
    <w:name w:val="批注主题 字符"/>
    <w:basedOn w:val="af"/>
    <w:link w:val="af0"/>
    <w:uiPriority w:val="99"/>
    <w:semiHidden/>
    <w:rsid w:val="00AF2710"/>
    <w:rPr>
      <w:b/>
      <w:bCs/>
    </w:rPr>
  </w:style>
  <w:style w:type="paragraph" w:customStyle="1" w:styleId="Agreement">
    <w:name w:val="Agreement"/>
    <w:basedOn w:val="a"/>
    <w:next w:val="a"/>
    <w:uiPriority w:val="99"/>
    <w:qFormat/>
    <w:rsid w:val="00927B05"/>
    <w:pPr>
      <w:widowControl/>
      <w:numPr>
        <w:numId w:val="6"/>
      </w:numPr>
      <w:spacing w:before="60"/>
      <w:jc w:val="left"/>
    </w:pPr>
    <w:rPr>
      <w:rFonts w:ascii="Arial" w:eastAsia="MS Mincho" w:hAnsi="Arial" w:cs="Times New Roman"/>
      <w:b/>
      <w:kern w:val="0"/>
      <w:sz w:val="20"/>
      <w:szCs w:val="24"/>
      <w:lang w:val="en-GB" w:eastAsia="en-GB"/>
    </w:rPr>
  </w:style>
  <w:style w:type="paragraph" w:customStyle="1" w:styleId="B1">
    <w:name w:val="B1"/>
    <w:basedOn w:val="af2"/>
    <w:link w:val="B1Char1"/>
    <w:rsid w:val="00B80225"/>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paragraph" w:customStyle="1" w:styleId="B2">
    <w:name w:val="B2"/>
    <w:basedOn w:val="2"/>
    <w:link w:val="B2Char"/>
    <w:rsid w:val="00B80225"/>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locked/>
    <w:rsid w:val="00B80225"/>
    <w:rPr>
      <w:rFonts w:ascii="Times New Roman" w:eastAsia="Times New Roman" w:hAnsi="Times New Roman" w:cs="Times New Roman"/>
      <w:kern w:val="0"/>
      <w:sz w:val="20"/>
      <w:szCs w:val="20"/>
      <w:lang w:val="en-GB" w:eastAsia="ja-JP"/>
    </w:rPr>
  </w:style>
  <w:style w:type="character" w:customStyle="1" w:styleId="B2Char">
    <w:name w:val="B2 Char"/>
    <w:link w:val="B2"/>
    <w:qFormat/>
    <w:locked/>
    <w:rsid w:val="00B80225"/>
    <w:rPr>
      <w:rFonts w:ascii="Times New Roman" w:eastAsia="Times New Roman" w:hAnsi="Times New Roman" w:cs="Times New Roman"/>
      <w:kern w:val="0"/>
      <w:sz w:val="20"/>
      <w:szCs w:val="20"/>
      <w:lang w:val="en-GB" w:eastAsia="ja-JP"/>
    </w:rPr>
  </w:style>
  <w:style w:type="paragraph" w:styleId="af2">
    <w:name w:val="List"/>
    <w:basedOn w:val="a"/>
    <w:uiPriority w:val="99"/>
    <w:semiHidden/>
    <w:unhideWhenUsed/>
    <w:rsid w:val="00B80225"/>
    <w:pPr>
      <w:ind w:left="200" w:hangingChars="200" w:hanging="200"/>
      <w:contextualSpacing/>
    </w:pPr>
  </w:style>
  <w:style w:type="paragraph" w:styleId="2">
    <w:name w:val="List 2"/>
    <w:basedOn w:val="a"/>
    <w:uiPriority w:val="99"/>
    <w:semiHidden/>
    <w:unhideWhenUsed/>
    <w:rsid w:val="00B80225"/>
    <w:pPr>
      <w:ind w:leftChars="200" w:left="100" w:hangingChars="200" w:hanging="200"/>
      <w:contextualSpacing/>
    </w:pPr>
  </w:style>
  <w:style w:type="paragraph" w:styleId="af3">
    <w:name w:val="Normal (Web)"/>
    <w:basedOn w:val="a"/>
    <w:uiPriority w:val="99"/>
    <w:unhideWhenUsed/>
    <w:rsid w:val="003C5399"/>
    <w:pPr>
      <w:widowControl/>
      <w:spacing w:before="100" w:beforeAutospacing="1" w:after="100" w:afterAutospacing="1"/>
      <w:jc w:val="left"/>
    </w:pPr>
    <w:rPr>
      <w:rFonts w:ascii="宋体" w:eastAsia="宋体" w:hAnsi="宋体" w:cs="宋体"/>
      <w:kern w:val="0"/>
      <w:sz w:val="24"/>
      <w:szCs w:val="24"/>
    </w:rPr>
  </w:style>
  <w:style w:type="paragraph" w:customStyle="1" w:styleId="maintext">
    <w:name w:val="main text"/>
    <w:basedOn w:val="a"/>
    <w:link w:val="maintextChar"/>
    <w:qFormat/>
    <w:rsid w:val="00712DD9"/>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qFormat/>
    <w:rsid w:val="00712DD9"/>
    <w:rPr>
      <w:rFonts w:ascii="Times New Roman" w:eastAsia="Malgun Gothic" w:hAnsi="Times New Roman" w:cs="Batang"/>
      <w:kern w:val="0"/>
      <w:sz w:val="20"/>
      <w:szCs w:val="20"/>
      <w:lang w:val="en-GB" w:eastAsia="ko-KR"/>
    </w:rPr>
  </w:style>
  <w:style w:type="paragraph" w:customStyle="1" w:styleId="Doc-text2">
    <w:name w:val="Doc-text2"/>
    <w:basedOn w:val="a"/>
    <w:link w:val="Doc-text2Char"/>
    <w:qFormat/>
    <w:rsid w:val="00657ABB"/>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657ABB"/>
    <w:rPr>
      <w:rFonts w:ascii="Arial" w:eastAsia="MS Mincho" w:hAnsi="Arial" w:cs="Times New Roman"/>
      <w:kern w:val="0"/>
      <w:sz w:val="20"/>
      <w:szCs w:val="24"/>
      <w:lang w:val="en-GB" w:eastAsia="en-GB"/>
    </w:rPr>
  </w:style>
  <w:style w:type="character" w:customStyle="1" w:styleId="ad">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locked/>
    <w:rsid w:val="003E09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6155">
      <w:bodyDiv w:val="1"/>
      <w:marLeft w:val="0"/>
      <w:marRight w:val="0"/>
      <w:marTop w:val="0"/>
      <w:marBottom w:val="0"/>
      <w:divBdr>
        <w:top w:val="none" w:sz="0" w:space="0" w:color="auto"/>
        <w:left w:val="none" w:sz="0" w:space="0" w:color="auto"/>
        <w:bottom w:val="none" w:sz="0" w:space="0" w:color="auto"/>
        <w:right w:val="none" w:sz="0" w:space="0" w:color="auto"/>
      </w:divBdr>
    </w:div>
    <w:div w:id="100805350">
      <w:bodyDiv w:val="1"/>
      <w:marLeft w:val="0"/>
      <w:marRight w:val="0"/>
      <w:marTop w:val="0"/>
      <w:marBottom w:val="0"/>
      <w:divBdr>
        <w:top w:val="none" w:sz="0" w:space="0" w:color="auto"/>
        <w:left w:val="none" w:sz="0" w:space="0" w:color="auto"/>
        <w:bottom w:val="none" w:sz="0" w:space="0" w:color="auto"/>
        <w:right w:val="none" w:sz="0" w:space="0" w:color="auto"/>
      </w:divBdr>
    </w:div>
    <w:div w:id="313146591">
      <w:bodyDiv w:val="1"/>
      <w:marLeft w:val="0"/>
      <w:marRight w:val="0"/>
      <w:marTop w:val="0"/>
      <w:marBottom w:val="0"/>
      <w:divBdr>
        <w:top w:val="none" w:sz="0" w:space="0" w:color="auto"/>
        <w:left w:val="none" w:sz="0" w:space="0" w:color="auto"/>
        <w:bottom w:val="none" w:sz="0" w:space="0" w:color="auto"/>
        <w:right w:val="none" w:sz="0" w:space="0" w:color="auto"/>
      </w:divBdr>
    </w:div>
    <w:div w:id="775098122">
      <w:bodyDiv w:val="1"/>
      <w:marLeft w:val="0"/>
      <w:marRight w:val="0"/>
      <w:marTop w:val="0"/>
      <w:marBottom w:val="0"/>
      <w:divBdr>
        <w:top w:val="none" w:sz="0" w:space="0" w:color="auto"/>
        <w:left w:val="none" w:sz="0" w:space="0" w:color="auto"/>
        <w:bottom w:val="none" w:sz="0" w:space="0" w:color="auto"/>
        <w:right w:val="none" w:sz="0" w:space="0" w:color="auto"/>
      </w:divBdr>
    </w:div>
    <w:div w:id="857885283">
      <w:bodyDiv w:val="1"/>
      <w:marLeft w:val="0"/>
      <w:marRight w:val="0"/>
      <w:marTop w:val="0"/>
      <w:marBottom w:val="0"/>
      <w:divBdr>
        <w:top w:val="none" w:sz="0" w:space="0" w:color="auto"/>
        <w:left w:val="none" w:sz="0" w:space="0" w:color="auto"/>
        <w:bottom w:val="none" w:sz="0" w:space="0" w:color="auto"/>
        <w:right w:val="none" w:sz="0" w:space="0" w:color="auto"/>
      </w:divBdr>
    </w:div>
    <w:div w:id="901251455">
      <w:bodyDiv w:val="1"/>
      <w:marLeft w:val="0"/>
      <w:marRight w:val="0"/>
      <w:marTop w:val="0"/>
      <w:marBottom w:val="0"/>
      <w:divBdr>
        <w:top w:val="none" w:sz="0" w:space="0" w:color="auto"/>
        <w:left w:val="none" w:sz="0" w:space="0" w:color="auto"/>
        <w:bottom w:val="none" w:sz="0" w:space="0" w:color="auto"/>
        <w:right w:val="none" w:sz="0" w:space="0" w:color="auto"/>
      </w:divBdr>
    </w:div>
    <w:div w:id="1132601261">
      <w:bodyDiv w:val="1"/>
      <w:marLeft w:val="0"/>
      <w:marRight w:val="0"/>
      <w:marTop w:val="0"/>
      <w:marBottom w:val="0"/>
      <w:divBdr>
        <w:top w:val="none" w:sz="0" w:space="0" w:color="auto"/>
        <w:left w:val="none" w:sz="0" w:space="0" w:color="auto"/>
        <w:bottom w:val="none" w:sz="0" w:space="0" w:color="auto"/>
        <w:right w:val="none" w:sz="0" w:space="0" w:color="auto"/>
      </w:divBdr>
    </w:div>
    <w:div w:id="1185636785">
      <w:bodyDiv w:val="1"/>
      <w:marLeft w:val="0"/>
      <w:marRight w:val="0"/>
      <w:marTop w:val="0"/>
      <w:marBottom w:val="0"/>
      <w:divBdr>
        <w:top w:val="none" w:sz="0" w:space="0" w:color="auto"/>
        <w:left w:val="none" w:sz="0" w:space="0" w:color="auto"/>
        <w:bottom w:val="none" w:sz="0" w:space="0" w:color="auto"/>
        <w:right w:val="none" w:sz="0" w:space="0" w:color="auto"/>
      </w:divBdr>
    </w:div>
    <w:div w:id="1349791408">
      <w:bodyDiv w:val="1"/>
      <w:marLeft w:val="0"/>
      <w:marRight w:val="0"/>
      <w:marTop w:val="0"/>
      <w:marBottom w:val="0"/>
      <w:divBdr>
        <w:top w:val="none" w:sz="0" w:space="0" w:color="auto"/>
        <w:left w:val="none" w:sz="0" w:space="0" w:color="auto"/>
        <w:bottom w:val="none" w:sz="0" w:space="0" w:color="auto"/>
        <w:right w:val="none" w:sz="0" w:space="0" w:color="auto"/>
      </w:divBdr>
    </w:div>
    <w:div w:id="1471942747">
      <w:bodyDiv w:val="1"/>
      <w:marLeft w:val="0"/>
      <w:marRight w:val="0"/>
      <w:marTop w:val="0"/>
      <w:marBottom w:val="0"/>
      <w:divBdr>
        <w:top w:val="none" w:sz="0" w:space="0" w:color="auto"/>
        <w:left w:val="none" w:sz="0" w:space="0" w:color="auto"/>
        <w:bottom w:val="none" w:sz="0" w:space="0" w:color="auto"/>
        <w:right w:val="none" w:sz="0" w:space="0" w:color="auto"/>
      </w:divBdr>
    </w:div>
    <w:div w:id="161921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13F0C-EC81-4187-A1D5-F48B8820B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3837</TotalTime>
  <Pages>4</Pages>
  <Words>1798</Words>
  <Characters>10253</Characters>
  <Application>Microsoft Office Word</Application>
  <DocSecurity>0</DocSecurity>
  <Lines>85</Lines>
  <Paragraphs>24</Paragraphs>
  <ScaleCrop>false</ScaleCrop>
  <Company/>
  <LinksUpToDate>false</LinksUpToDate>
  <CharactersWithSpaces>12027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cp:lastModifiedBy>
  <cp:revision>746</cp:revision>
  <dcterms:created xsi:type="dcterms:W3CDTF">2021-01-15T02:11:00Z</dcterms:created>
  <dcterms:modified xsi:type="dcterms:W3CDTF">2023-08-11T01:13:00Z</dcterms:modified>
</cp:coreProperties>
</file>